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0C543" w14:textId="77777777" w:rsidR="0085147D" w:rsidRDefault="0085147D">
      <w:pPr>
        <w:jc w:val="center"/>
        <w:rPr>
          <w:rFonts w:ascii="Calibri" w:eastAsia="Calibri" w:hAnsi="Calibri" w:cs="Calibri"/>
          <w:b/>
          <w:color w:val="000000"/>
          <w:sz w:val="24"/>
          <w:szCs w:val="24"/>
        </w:rPr>
      </w:pPr>
    </w:p>
    <w:p w14:paraId="5F5C892F" w14:textId="77777777" w:rsidR="0085147D" w:rsidRDefault="00000000">
      <w:pPr>
        <w:jc w:val="center"/>
        <w:rPr>
          <w:rFonts w:ascii="Calibri" w:eastAsia="Calibri" w:hAnsi="Calibri" w:cs="Calibri"/>
          <w:b/>
          <w:color w:val="000000"/>
          <w:sz w:val="26"/>
          <w:szCs w:val="26"/>
        </w:rPr>
      </w:pPr>
      <w:r>
        <w:rPr>
          <w:rFonts w:ascii="Calibri" w:eastAsia="Calibri" w:hAnsi="Calibri" w:cs="Calibri"/>
          <w:b/>
          <w:color w:val="000000"/>
          <w:sz w:val="26"/>
          <w:szCs w:val="26"/>
        </w:rPr>
        <w:t>HEPATITIS A EN PEDIATRIA, UNA ENFERMEDAD DE INICIO SILENCIOSO.</w:t>
      </w:r>
    </w:p>
    <w:p w14:paraId="7C07B4D9" w14:textId="77777777" w:rsidR="0085147D" w:rsidRDefault="0085147D">
      <w:pPr>
        <w:jc w:val="both"/>
        <w:rPr>
          <w:rFonts w:ascii="Calibri" w:eastAsia="Calibri" w:hAnsi="Calibri" w:cs="Calibri"/>
          <w:color w:val="000000"/>
          <w:sz w:val="20"/>
          <w:szCs w:val="20"/>
        </w:rPr>
      </w:pPr>
    </w:p>
    <w:p w14:paraId="4EB1F4CC" w14:textId="77777777" w:rsidR="0085147D" w:rsidRDefault="00000000">
      <w:pPr>
        <w:jc w:val="both"/>
        <w:rPr>
          <w:rFonts w:ascii="Calibri" w:eastAsia="Calibri" w:hAnsi="Calibri" w:cs="Calibri"/>
          <w:color w:val="000000"/>
          <w:sz w:val="20"/>
          <w:szCs w:val="20"/>
        </w:rPr>
      </w:pPr>
      <w:r>
        <w:rPr>
          <w:rFonts w:ascii="Calibri" w:eastAsia="Calibri" w:hAnsi="Calibri" w:cs="Calibri"/>
          <w:b/>
          <w:color w:val="000000"/>
          <w:sz w:val="20"/>
          <w:szCs w:val="20"/>
        </w:rPr>
        <w:t>Autora:</w:t>
      </w:r>
      <w:r>
        <w:rPr>
          <w:rFonts w:ascii="Calibri" w:eastAsia="Calibri" w:hAnsi="Calibri" w:cs="Calibri"/>
          <w:color w:val="000000"/>
          <w:sz w:val="20"/>
          <w:szCs w:val="20"/>
        </w:rPr>
        <w:t xml:space="preserve"> Dra. Camila Quiñones V., Residente de Medicina Familiar UC. </w:t>
      </w:r>
    </w:p>
    <w:p w14:paraId="1C091BA4" w14:textId="77777777" w:rsidR="0085147D" w:rsidRDefault="00000000">
      <w:pPr>
        <w:jc w:val="both"/>
        <w:rPr>
          <w:rFonts w:ascii="Calibri" w:eastAsia="Calibri" w:hAnsi="Calibri" w:cs="Calibri"/>
          <w:color w:val="000000"/>
          <w:sz w:val="20"/>
          <w:szCs w:val="20"/>
        </w:rPr>
      </w:pPr>
      <w:r>
        <w:rPr>
          <w:rFonts w:ascii="Calibri" w:eastAsia="Calibri" w:hAnsi="Calibri" w:cs="Calibri"/>
          <w:b/>
          <w:color w:val="000000"/>
          <w:sz w:val="20"/>
          <w:szCs w:val="20"/>
        </w:rPr>
        <w:t>Editora:</w:t>
      </w:r>
      <w:r>
        <w:rPr>
          <w:rFonts w:ascii="Calibri" w:eastAsia="Calibri" w:hAnsi="Calibri" w:cs="Calibri"/>
          <w:color w:val="000000"/>
          <w:sz w:val="20"/>
          <w:szCs w:val="20"/>
        </w:rPr>
        <w:t xml:space="preserve">  Dra. Pamela Rojas G., Docente de Medicina Familiar UC.  </w:t>
      </w:r>
    </w:p>
    <w:p w14:paraId="24761AC7" w14:textId="77777777" w:rsidR="0085147D" w:rsidRDefault="00000000">
      <w:pPr>
        <w:jc w:val="both"/>
        <w:rPr>
          <w:rFonts w:ascii="Calibri" w:eastAsia="Calibri" w:hAnsi="Calibri" w:cs="Calibri"/>
          <w:color w:val="000000"/>
          <w:sz w:val="20"/>
          <w:szCs w:val="20"/>
        </w:rPr>
      </w:pPr>
      <w:r>
        <w:rPr>
          <w:rFonts w:ascii="Calibri" w:eastAsia="Calibri" w:hAnsi="Calibri" w:cs="Calibri"/>
          <w:b/>
          <w:color w:val="000000"/>
          <w:sz w:val="20"/>
          <w:szCs w:val="20"/>
        </w:rPr>
        <w:t>Fecha:</w:t>
      </w:r>
      <w:r>
        <w:rPr>
          <w:rFonts w:ascii="Calibri" w:eastAsia="Calibri" w:hAnsi="Calibri" w:cs="Calibri"/>
          <w:color w:val="000000"/>
          <w:sz w:val="20"/>
          <w:szCs w:val="20"/>
        </w:rPr>
        <w:t xml:space="preserve"> Agosto, 2024.</w:t>
      </w:r>
    </w:p>
    <w:p w14:paraId="61EE009C" w14:textId="77777777" w:rsidR="0085147D" w:rsidRDefault="0085147D">
      <w:pPr>
        <w:jc w:val="both"/>
        <w:rPr>
          <w:rFonts w:ascii="Calibri" w:eastAsia="Calibri" w:hAnsi="Calibri" w:cs="Calibri"/>
          <w:color w:val="000000"/>
          <w:sz w:val="20"/>
          <w:szCs w:val="20"/>
        </w:rPr>
      </w:pPr>
    </w:p>
    <w:p w14:paraId="029A42FB" w14:textId="77777777" w:rsidR="0085147D" w:rsidRDefault="00000000">
      <w:pPr>
        <w:jc w:val="both"/>
        <w:rPr>
          <w:rFonts w:ascii="Calibri" w:eastAsia="Calibri" w:hAnsi="Calibri" w:cs="Calibri"/>
          <w:color w:val="000000"/>
          <w:sz w:val="22"/>
          <w:szCs w:val="22"/>
        </w:rPr>
      </w:pPr>
      <w:r>
        <w:rPr>
          <w:rFonts w:ascii="Calibri" w:eastAsia="Calibri" w:hAnsi="Calibri" w:cs="Calibri"/>
          <w:b/>
          <w:color w:val="000000"/>
          <w:sz w:val="22"/>
          <w:szCs w:val="22"/>
        </w:rPr>
        <w:t>Portada:</w:t>
      </w:r>
    </w:p>
    <w:p w14:paraId="730856A5" w14:textId="77777777" w:rsidR="0085147D" w:rsidRDefault="00000000">
      <w:pPr>
        <w:jc w:val="both"/>
        <w:rPr>
          <w:rFonts w:ascii="Calibri" w:eastAsia="Calibri" w:hAnsi="Calibri" w:cs="Calibri"/>
          <w:color w:val="000000"/>
          <w:sz w:val="22"/>
          <w:szCs w:val="22"/>
        </w:rPr>
      </w:pPr>
      <w:r>
        <w:rPr>
          <w:rFonts w:ascii="Calibri" w:eastAsia="Calibri" w:hAnsi="Calibri" w:cs="Calibri"/>
          <w:color w:val="000000"/>
          <w:sz w:val="22"/>
          <w:szCs w:val="22"/>
        </w:rPr>
        <w:t>En el contexto de la hepatitis aguda, la hepatitis A es la más frecuente en la población pediátrica. En este artículo, abordaremos su epidemiología, sus principales manifestaciones clínicas y los exámenes que nos pueden orientar a una insuficiencia hepática aguda.</w:t>
      </w:r>
    </w:p>
    <w:p w14:paraId="21F0F261" w14:textId="77777777" w:rsidR="0085147D" w:rsidRDefault="0085147D">
      <w:pPr>
        <w:jc w:val="both"/>
        <w:rPr>
          <w:rFonts w:ascii="Calibri" w:eastAsia="Calibri" w:hAnsi="Calibri" w:cs="Calibri"/>
          <w:color w:val="000000"/>
          <w:sz w:val="22"/>
          <w:szCs w:val="22"/>
        </w:rPr>
      </w:pPr>
    </w:p>
    <w:p w14:paraId="338F3626" w14:textId="77777777" w:rsidR="0085147D" w:rsidRDefault="00000000">
      <w:pPr>
        <w:jc w:val="both"/>
        <w:rPr>
          <w:rFonts w:ascii="Calibri" w:eastAsia="Calibri" w:hAnsi="Calibri" w:cs="Calibri"/>
          <w:color w:val="000000"/>
          <w:sz w:val="22"/>
          <w:szCs w:val="22"/>
        </w:rPr>
      </w:pPr>
      <w:r>
        <w:rPr>
          <w:rFonts w:ascii="Calibri" w:eastAsia="Calibri" w:hAnsi="Calibri" w:cs="Calibri"/>
          <w:b/>
          <w:color w:val="000000"/>
          <w:sz w:val="22"/>
          <w:szCs w:val="22"/>
        </w:rPr>
        <w:t>Palabras clave:</w:t>
      </w:r>
      <w:r>
        <w:rPr>
          <w:rFonts w:ascii="Calibri" w:eastAsia="Calibri" w:hAnsi="Calibri" w:cs="Calibri"/>
          <w:color w:val="000000"/>
          <w:sz w:val="22"/>
          <w:szCs w:val="22"/>
        </w:rPr>
        <w:t xml:space="preserve"> Hepatitis A, Insuficiencia hepática aguda, Vacuna, APS, Medicina Familiar </w:t>
      </w:r>
    </w:p>
    <w:p w14:paraId="181D3184" w14:textId="77777777" w:rsidR="0085147D" w:rsidRDefault="0085147D">
      <w:pPr>
        <w:jc w:val="both"/>
        <w:rPr>
          <w:rFonts w:ascii="Calibri" w:eastAsia="Calibri" w:hAnsi="Calibri" w:cs="Calibri"/>
          <w:color w:val="000000"/>
          <w:sz w:val="20"/>
          <w:szCs w:val="20"/>
        </w:rPr>
      </w:pPr>
    </w:p>
    <w:p w14:paraId="33014309" w14:textId="77777777" w:rsidR="0085147D" w:rsidRDefault="00000000">
      <w:pPr>
        <w:jc w:val="both"/>
        <w:rPr>
          <w:rFonts w:ascii="Calibri" w:eastAsia="Calibri" w:hAnsi="Calibri" w:cs="Calibri"/>
          <w:color w:val="000000"/>
          <w:sz w:val="20"/>
          <w:szCs w:val="20"/>
        </w:rPr>
      </w:pPr>
      <w:r>
        <w:rPr>
          <w:rFonts w:ascii="Calibri" w:eastAsia="Calibri" w:hAnsi="Calibri" w:cs="Calibri"/>
          <w:b/>
          <w:color w:val="000000"/>
          <w:sz w:val="20"/>
          <w:szCs w:val="20"/>
        </w:rPr>
        <w:t>INTRODUCCIÓN</w:t>
      </w:r>
      <w:r>
        <w:rPr>
          <w:rFonts w:ascii="Calibri" w:eastAsia="Calibri" w:hAnsi="Calibri" w:cs="Calibri"/>
          <w:color w:val="000000"/>
          <w:sz w:val="20"/>
          <w:szCs w:val="20"/>
        </w:rPr>
        <w:t xml:space="preserve"> </w:t>
      </w:r>
    </w:p>
    <w:p w14:paraId="52757EF2" w14:textId="77777777" w:rsidR="0085147D" w:rsidRDefault="0085147D">
      <w:pPr>
        <w:jc w:val="both"/>
        <w:rPr>
          <w:rFonts w:ascii="Calibri" w:eastAsia="Calibri" w:hAnsi="Calibri" w:cs="Calibri"/>
          <w:color w:val="000000"/>
          <w:sz w:val="20"/>
          <w:szCs w:val="20"/>
        </w:rPr>
      </w:pPr>
    </w:p>
    <w:p w14:paraId="0093D91E"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La hepatitis A es una enfermedad inflamatoria del hígado causada por el virus de la hepatitis A (VHA), que se transmite principalmente a través de la vía fecal-oral. Esta condición puede variar desde un cuadro clínico leve y autolimitado hasta casos más graves, incluyendo la hepatitis fulminante. A nivel mundial, se estima que aproximadamente 1.4 millones de personas contraen hepatitis A anualmente; la mayoría de los brotes ocurren en regiones con condiciones sanitarias deficientes, lo que resalta la importancia de las medidas de prevención como la vacunación y la mejora de la higiene pública</w:t>
      </w:r>
      <w:r>
        <w:rPr>
          <w:rFonts w:ascii="Calibri" w:eastAsia="Calibri" w:hAnsi="Calibri" w:cs="Calibri"/>
          <w:color w:val="000000"/>
          <w:sz w:val="20"/>
          <w:szCs w:val="20"/>
          <w:vertAlign w:val="superscript"/>
        </w:rPr>
        <w:t>1,2</w:t>
      </w:r>
      <w:r>
        <w:rPr>
          <w:rFonts w:ascii="Calibri" w:eastAsia="Calibri" w:hAnsi="Calibri" w:cs="Calibri"/>
          <w:color w:val="000000"/>
          <w:sz w:val="20"/>
          <w:szCs w:val="20"/>
        </w:rPr>
        <w:t>.</w:t>
      </w:r>
    </w:p>
    <w:p w14:paraId="42FD0726"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En términos de epidemiología, la hepatitis A es particularmente prevalente en países en desarrollo, donde la transmisión se facilita por la falta de acceso a agua potable y saneamiento adecuado. Con la introducción de programas de vacunación masiva en algunos países, incluyendo Chile, se ha experimentado una reducción significativa en la incidencia de la enfermedad. </w:t>
      </w:r>
    </w:p>
    <w:p w14:paraId="00081FF1"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En Chile, la primera introducción de la vacuna en el Programa Nacional de Inmunizaciones (PNI) ocurrió en Arica, Parinacota y Tarapacá en 2013 y luego en Bio-Bío en el 2014. En 2018 su uso se extendió a todo el país, evidenciándose una disminución notable en los casos reportados a partir de 2019. Esta medida ha sido clave para reducir la carga de la enfermedad, especialmente en poblaciones jóvenes, que en ausencia de la vacuna, habrían estado en mayor riesgo de contagio. La edad promedio actual de contagio ha variado, situándose alrededor de los 27 años, lo que refleja también mejoras en las condiciones sanitarias del país</w:t>
      </w:r>
      <w:r>
        <w:rPr>
          <w:rFonts w:ascii="Calibri" w:eastAsia="Calibri" w:hAnsi="Calibri" w:cs="Calibri"/>
          <w:color w:val="000000"/>
          <w:sz w:val="20"/>
          <w:szCs w:val="20"/>
          <w:vertAlign w:val="superscript"/>
        </w:rPr>
        <w:t>3</w:t>
      </w:r>
      <w:r>
        <w:rPr>
          <w:rFonts w:ascii="Calibri" w:eastAsia="Calibri" w:hAnsi="Calibri" w:cs="Calibri"/>
          <w:color w:val="000000"/>
          <w:sz w:val="20"/>
          <w:szCs w:val="20"/>
        </w:rPr>
        <w:t>.</w:t>
      </w:r>
    </w:p>
    <w:p w14:paraId="52BE050A"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La relevancia de la hepatitis A radica en su impacto en la salud pública, no solo por la morbilidad que genera, sino también por los costos asociados al manejo de los brotes, la necesidad de intervenciones preventivas, y las hepatitis fulminantes que genera, </w:t>
      </w:r>
      <w:r>
        <w:rPr>
          <w:rFonts w:ascii="Calibri" w:eastAsia="Calibri" w:hAnsi="Calibri" w:cs="Calibri"/>
          <w:color w:val="000000"/>
          <w:sz w:val="20"/>
          <w:szCs w:val="20"/>
          <w:vertAlign w:val="superscript"/>
        </w:rPr>
        <w:t>4,5</w:t>
      </w:r>
      <w:r>
        <w:rPr>
          <w:rFonts w:ascii="Calibri" w:eastAsia="Calibri" w:hAnsi="Calibri" w:cs="Calibri"/>
          <w:color w:val="000000"/>
          <w:sz w:val="20"/>
          <w:szCs w:val="20"/>
        </w:rPr>
        <w:t>.</w:t>
      </w:r>
    </w:p>
    <w:p w14:paraId="5ED43C14" w14:textId="77777777" w:rsidR="0085147D" w:rsidRDefault="0085147D">
      <w:pPr>
        <w:spacing w:after="120"/>
        <w:jc w:val="both"/>
        <w:rPr>
          <w:rFonts w:ascii="Calibri" w:eastAsia="Calibri" w:hAnsi="Calibri" w:cs="Calibri"/>
          <w:color w:val="000000"/>
          <w:sz w:val="20"/>
          <w:szCs w:val="20"/>
        </w:rPr>
      </w:pPr>
    </w:p>
    <w:p w14:paraId="0F11C4E1" w14:textId="77777777" w:rsidR="0085147D" w:rsidRDefault="00000000">
      <w:pPr>
        <w:spacing w:after="120"/>
        <w:jc w:val="both"/>
        <w:rPr>
          <w:rFonts w:ascii="Calibri" w:eastAsia="Calibri" w:hAnsi="Calibri" w:cs="Calibri"/>
          <w:b/>
          <w:color w:val="000000"/>
          <w:sz w:val="20"/>
          <w:szCs w:val="20"/>
        </w:rPr>
      </w:pPr>
      <w:r>
        <w:rPr>
          <w:rFonts w:ascii="Calibri" w:eastAsia="Calibri" w:hAnsi="Calibri" w:cs="Calibri"/>
          <w:b/>
          <w:color w:val="000000"/>
          <w:sz w:val="20"/>
          <w:szCs w:val="20"/>
        </w:rPr>
        <w:t>HEPATITIS A: PATOGENIA Y EPIDEMIOLOGÍA</w:t>
      </w:r>
    </w:p>
    <w:p w14:paraId="37BA97A6"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La hepatitis A es causada por un virus RNA de serotipo único, lo que facilita la protección a largo plazo a través de la inmunización. El virus se transmite principalmente a través de la ingesta de alimentos o agua contaminados con heces de una persona infectada, con una tasa de transmisión del 45% en niños dentro de la familia y del 20% en adultos</w:t>
      </w:r>
      <w:r>
        <w:rPr>
          <w:rFonts w:ascii="Calibri" w:eastAsia="Calibri" w:hAnsi="Calibri" w:cs="Calibri"/>
          <w:color w:val="000000"/>
          <w:sz w:val="20"/>
          <w:szCs w:val="20"/>
          <w:vertAlign w:val="superscript"/>
        </w:rPr>
        <w:t>6</w:t>
      </w:r>
      <w:r>
        <w:rPr>
          <w:rFonts w:ascii="Calibri" w:eastAsia="Calibri" w:hAnsi="Calibri" w:cs="Calibri"/>
          <w:color w:val="000000"/>
          <w:sz w:val="20"/>
          <w:szCs w:val="20"/>
        </w:rPr>
        <w:t>. Tras un período de incubación que oscila entre 15 y 50 días (promedio de 28 días), la enfermedad puede presentarse con o sin síntomas, siendo cerca de un 70% los niños menores de seis años los más propensos a ser asintomáticos</w:t>
      </w:r>
      <w:r>
        <w:rPr>
          <w:rFonts w:ascii="Calibri" w:eastAsia="Calibri" w:hAnsi="Calibri" w:cs="Calibri"/>
          <w:color w:val="000000"/>
          <w:sz w:val="20"/>
          <w:szCs w:val="20"/>
          <w:vertAlign w:val="superscript"/>
        </w:rPr>
        <w:t>7</w:t>
      </w:r>
      <w:r>
        <w:rPr>
          <w:rFonts w:ascii="Calibri" w:eastAsia="Calibri" w:hAnsi="Calibri" w:cs="Calibri"/>
          <w:color w:val="000000"/>
          <w:sz w:val="20"/>
          <w:szCs w:val="20"/>
        </w:rPr>
        <w:t>. Los pacientes con hepatitis A tienen más probabilidades de transmitir la enfermedad en los 14 días previos al desarrollo de la ictericia y una semana después del inicio de la ictericia</w:t>
      </w:r>
      <w:r>
        <w:rPr>
          <w:rFonts w:ascii="Calibri" w:eastAsia="Calibri" w:hAnsi="Calibri" w:cs="Calibri"/>
          <w:color w:val="000000"/>
          <w:sz w:val="20"/>
          <w:szCs w:val="20"/>
          <w:vertAlign w:val="superscript"/>
        </w:rPr>
        <w:t>8</w:t>
      </w:r>
      <w:r>
        <w:rPr>
          <w:rFonts w:ascii="Calibri" w:eastAsia="Calibri" w:hAnsi="Calibri" w:cs="Calibri"/>
          <w:color w:val="000000"/>
          <w:sz w:val="20"/>
          <w:szCs w:val="20"/>
        </w:rPr>
        <w:t>.</w:t>
      </w:r>
    </w:p>
    <w:p w14:paraId="0C587FB8" w14:textId="77777777" w:rsidR="0085147D" w:rsidRDefault="0085147D">
      <w:pPr>
        <w:spacing w:after="120"/>
        <w:jc w:val="both"/>
        <w:rPr>
          <w:rFonts w:ascii="Calibri" w:eastAsia="Calibri" w:hAnsi="Calibri" w:cs="Calibri"/>
          <w:color w:val="000000"/>
          <w:sz w:val="20"/>
          <w:szCs w:val="20"/>
        </w:rPr>
      </w:pPr>
    </w:p>
    <w:p w14:paraId="3A28631A" w14:textId="77777777" w:rsidR="0085147D" w:rsidRDefault="00000000">
      <w:pPr>
        <w:spacing w:after="120"/>
        <w:jc w:val="both"/>
        <w:rPr>
          <w:rFonts w:ascii="Calibri" w:eastAsia="Calibri" w:hAnsi="Calibri" w:cs="Calibri"/>
          <w:b/>
          <w:color w:val="000000"/>
          <w:sz w:val="20"/>
          <w:szCs w:val="20"/>
        </w:rPr>
      </w:pPr>
      <w:r>
        <w:rPr>
          <w:rFonts w:ascii="Calibri" w:eastAsia="Calibri" w:hAnsi="Calibri" w:cs="Calibri"/>
          <w:b/>
          <w:color w:val="000000"/>
          <w:sz w:val="20"/>
          <w:szCs w:val="20"/>
        </w:rPr>
        <w:t>FASES CLÍNICAS DE LA HEPATITIS A</w:t>
      </w:r>
    </w:p>
    <w:p w14:paraId="3A6EAB32" w14:textId="77777777" w:rsidR="0085147D" w:rsidRDefault="00000000">
      <w:pPr>
        <w:numPr>
          <w:ilvl w:val="0"/>
          <w:numId w:val="3"/>
        </w:numPr>
        <w:spacing w:after="120"/>
        <w:jc w:val="both"/>
        <w:rPr>
          <w:rFonts w:ascii="Calibri" w:eastAsia="Calibri" w:hAnsi="Calibri" w:cs="Calibri"/>
          <w:color w:val="000000"/>
          <w:sz w:val="20"/>
          <w:szCs w:val="20"/>
        </w:rPr>
      </w:pPr>
      <w:r>
        <w:rPr>
          <w:rFonts w:ascii="Calibri" w:eastAsia="Calibri" w:hAnsi="Calibri" w:cs="Calibri"/>
          <w:b/>
          <w:color w:val="000000"/>
          <w:sz w:val="20"/>
          <w:szCs w:val="20"/>
        </w:rPr>
        <w:lastRenderedPageBreak/>
        <w:t>Incubación:</w:t>
      </w:r>
      <w:r>
        <w:rPr>
          <w:rFonts w:ascii="Calibri" w:eastAsia="Calibri" w:hAnsi="Calibri" w:cs="Calibri"/>
          <w:color w:val="000000"/>
          <w:sz w:val="20"/>
          <w:szCs w:val="20"/>
        </w:rPr>
        <w:t xml:space="preserve"> 30 días.</w:t>
      </w:r>
    </w:p>
    <w:p w14:paraId="42AA7355" w14:textId="77777777" w:rsidR="0085147D" w:rsidRDefault="00000000">
      <w:pPr>
        <w:numPr>
          <w:ilvl w:val="0"/>
          <w:numId w:val="3"/>
        </w:numPr>
        <w:spacing w:after="120"/>
        <w:jc w:val="both"/>
        <w:rPr>
          <w:rFonts w:ascii="Calibri" w:eastAsia="Calibri" w:hAnsi="Calibri" w:cs="Calibri"/>
          <w:color w:val="000000"/>
          <w:sz w:val="20"/>
          <w:szCs w:val="20"/>
        </w:rPr>
      </w:pPr>
      <w:r>
        <w:rPr>
          <w:rFonts w:ascii="Calibri" w:eastAsia="Calibri" w:hAnsi="Calibri" w:cs="Calibri"/>
          <w:b/>
          <w:color w:val="000000"/>
          <w:sz w:val="20"/>
          <w:szCs w:val="20"/>
        </w:rPr>
        <w:t>Fase prodrómica:</w:t>
      </w:r>
      <w:r>
        <w:rPr>
          <w:rFonts w:ascii="Calibri" w:eastAsia="Calibri" w:hAnsi="Calibri" w:cs="Calibri"/>
          <w:color w:val="000000"/>
          <w:sz w:val="20"/>
          <w:szCs w:val="20"/>
        </w:rPr>
        <w:t xml:space="preserve"> De 1 a 2 semanas, con síntomas inespecíficos como pérdida de apetito, fatiga y, en algunos casos, diarrea aguda.</w:t>
      </w:r>
    </w:p>
    <w:p w14:paraId="20175960" w14:textId="77777777" w:rsidR="0085147D" w:rsidRDefault="00000000">
      <w:pPr>
        <w:numPr>
          <w:ilvl w:val="0"/>
          <w:numId w:val="3"/>
        </w:numPr>
        <w:spacing w:after="120"/>
        <w:jc w:val="both"/>
        <w:rPr>
          <w:rFonts w:ascii="Calibri" w:eastAsia="Calibri" w:hAnsi="Calibri" w:cs="Calibri"/>
          <w:color w:val="000000"/>
          <w:sz w:val="20"/>
          <w:szCs w:val="20"/>
        </w:rPr>
      </w:pPr>
      <w:r>
        <w:rPr>
          <w:rFonts w:ascii="Calibri" w:eastAsia="Calibri" w:hAnsi="Calibri" w:cs="Calibri"/>
          <w:b/>
          <w:color w:val="000000"/>
          <w:sz w:val="20"/>
          <w:szCs w:val="20"/>
        </w:rPr>
        <w:t>Fase ictérica:</w:t>
      </w:r>
      <w:r>
        <w:rPr>
          <w:rFonts w:ascii="Calibri" w:eastAsia="Calibri" w:hAnsi="Calibri" w:cs="Calibri"/>
          <w:color w:val="000000"/>
          <w:sz w:val="20"/>
          <w:szCs w:val="20"/>
        </w:rPr>
        <w:t xml:space="preserve"> De 4 días a 4 meses (promedio de 2 a 3 semanas), coincidiendo con el </w:t>
      </w:r>
      <w:proofErr w:type="spellStart"/>
      <w:r>
        <w:rPr>
          <w:rFonts w:ascii="Calibri" w:eastAsia="Calibri" w:hAnsi="Calibri" w:cs="Calibri"/>
          <w:color w:val="000000"/>
          <w:sz w:val="20"/>
          <w:szCs w:val="20"/>
        </w:rPr>
        <w:t>peak</w:t>
      </w:r>
      <w:proofErr w:type="spellEnd"/>
      <w:r>
        <w:rPr>
          <w:rFonts w:ascii="Calibri" w:eastAsia="Calibri" w:hAnsi="Calibri" w:cs="Calibri"/>
          <w:color w:val="000000"/>
          <w:sz w:val="20"/>
          <w:szCs w:val="20"/>
        </w:rPr>
        <w:t xml:space="preserve"> de transaminasas hepáticas.</w:t>
      </w:r>
    </w:p>
    <w:p w14:paraId="3ACC7504" w14:textId="77777777" w:rsidR="0085147D" w:rsidRDefault="00000000">
      <w:pPr>
        <w:numPr>
          <w:ilvl w:val="0"/>
          <w:numId w:val="3"/>
        </w:numPr>
        <w:spacing w:after="120"/>
        <w:jc w:val="both"/>
        <w:rPr>
          <w:rFonts w:ascii="Calibri" w:eastAsia="Calibri" w:hAnsi="Calibri" w:cs="Calibri"/>
          <w:color w:val="000000"/>
          <w:sz w:val="20"/>
          <w:szCs w:val="20"/>
        </w:rPr>
      </w:pPr>
      <w:r>
        <w:rPr>
          <w:rFonts w:ascii="Calibri" w:eastAsia="Calibri" w:hAnsi="Calibri" w:cs="Calibri"/>
          <w:b/>
          <w:color w:val="000000"/>
          <w:sz w:val="20"/>
          <w:szCs w:val="20"/>
        </w:rPr>
        <w:t>Fase de convalecencia:</w:t>
      </w:r>
      <w:r>
        <w:rPr>
          <w:rFonts w:ascii="Calibri" w:eastAsia="Calibri" w:hAnsi="Calibri" w:cs="Calibri"/>
          <w:color w:val="000000"/>
          <w:sz w:val="20"/>
          <w:szCs w:val="20"/>
        </w:rPr>
        <w:t xml:space="preserve"> Resolución de síntomas, aunque la fatiga puede persistir por varios meses</w:t>
      </w:r>
      <w:r>
        <w:rPr>
          <w:rFonts w:ascii="Calibri" w:eastAsia="Calibri" w:hAnsi="Calibri" w:cs="Calibri"/>
          <w:color w:val="000000"/>
          <w:sz w:val="20"/>
          <w:szCs w:val="20"/>
          <w:vertAlign w:val="superscript"/>
        </w:rPr>
        <w:t>7</w:t>
      </w:r>
      <w:r>
        <w:rPr>
          <w:rFonts w:ascii="Calibri" w:eastAsia="Calibri" w:hAnsi="Calibri" w:cs="Calibri"/>
          <w:color w:val="000000"/>
          <w:sz w:val="20"/>
          <w:szCs w:val="20"/>
        </w:rPr>
        <w:t>.</w:t>
      </w:r>
    </w:p>
    <w:p w14:paraId="50B1FCAF" w14:textId="77777777" w:rsidR="0085147D" w:rsidRDefault="0085147D">
      <w:pPr>
        <w:spacing w:after="120"/>
        <w:jc w:val="both"/>
        <w:rPr>
          <w:rFonts w:ascii="Calibri" w:eastAsia="Calibri" w:hAnsi="Calibri" w:cs="Calibri"/>
          <w:b/>
          <w:color w:val="000000"/>
          <w:sz w:val="20"/>
          <w:szCs w:val="20"/>
        </w:rPr>
      </w:pPr>
    </w:p>
    <w:p w14:paraId="5737A46F" w14:textId="77777777" w:rsidR="0085147D" w:rsidRDefault="00000000">
      <w:pPr>
        <w:spacing w:after="120"/>
        <w:jc w:val="both"/>
        <w:rPr>
          <w:rFonts w:ascii="Calibri" w:eastAsia="Calibri" w:hAnsi="Calibri" w:cs="Calibri"/>
          <w:b/>
          <w:color w:val="000000"/>
          <w:sz w:val="20"/>
          <w:szCs w:val="20"/>
        </w:rPr>
      </w:pPr>
      <w:r>
        <w:rPr>
          <w:rFonts w:ascii="Calibri" w:eastAsia="Calibri" w:hAnsi="Calibri" w:cs="Calibri"/>
          <w:b/>
          <w:color w:val="000000"/>
          <w:sz w:val="20"/>
          <w:szCs w:val="20"/>
        </w:rPr>
        <w:t>MANIFESTACIONES CLÍNICAS</w:t>
      </w:r>
    </w:p>
    <w:p w14:paraId="0CAC0E85"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La mayoría de los pacientes con hepatitis A experimentan fatiga (90%) y pérdida de apetito. Algunos pacientes presentan ictericia, siendo más frecuente en niños mayores (10% de los menores de seis años la experimenta)</w:t>
      </w:r>
      <w:r>
        <w:rPr>
          <w:rFonts w:ascii="Calibri" w:eastAsia="Calibri" w:hAnsi="Calibri" w:cs="Calibri"/>
          <w:color w:val="000000"/>
          <w:sz w:val="20"/>
          <w:szCs w:val="20"/>
          <w:vertAlign w:val="superscript"/>
        </w:rPr>
        <w:t>7</w:t>
      </w:r>
      <w:r>
        <w:rPr>
          <w:rFonts w:ascii="Calibri" w:eastAsia="Calibri" w:hAnsi="Calibri" w:cs="Calibri"/>
          <w:color w:val="000000"/>
          <w:sz w:val="20"/>
          <w:szCs w:val="20"/>
        </w:rPr>
        <w:t xml:space="preserve">. </w:t>
      </w:r>
    </w:p>
    <w:p w14:paraId="3FB5AFC6"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Los hallazgos más comunes en el examen físico incluyen hepatomegalia (78%) e ictericia, que afecta a entre el 40% y el 80% de los casos</w:t>
      </w:r>
      <w:r>
        <w:rPr>
          <w:rFonts w:ascii="Calibri" w:eastAsia="Calibri" w:hAnsi="Calibri" w:cs="Calibri"/>
          <w:color w:val="000000"/>
          <w:sz w:val="20"/>
          <w:szCs w:val="20"/>
          <w:vertAlign w:val="superscript"/>
        </w:rPr>
        <w:t>8</w:t>
      </w:r>
      <w:r>
        <w:rPr>
          <w:rFonts w:ascii="Calibri" w:eastAsia="Calibri" w:hAnsi="Calibri" w:cs="Calibri"/>
          <w:color w:val="000000"/>
          <w:sz w:val="20"/>
          <w:szCs w:val="20"/>
        </w:rPr>
        <w:t xml:space="preserve">. </w:t>
      </w:r>
    </w:p>
    <w:p w14:paraId="38252642" w14:textId="77777777" w:rsidR="0085147D" w:rsidRDefault="0085147D">
      <w:pPr>
        <w:spacing w:after="120"/>
        <w:jc w:val="both"/>
        <w:rPr>
          <w:rFonts w:ascii="Calibri" w:eastAsia="Calibri" w:hAnsi="Calibri" w:cs="Calibri"/>
          <w:color w:val="000000"/>
          <w:sz w:val="20"/>
          <w:szCs w:val="20"/>
        </w:rPr>
      </w:pPr>
    </w:p>
    <w:p w14:paraId="043977F7" w14:textId="77777777" w:rsidR="0085147D" w:rsidRDefault="00000000">
      <w:pPr>
        <w:spacing w:after="120"/>
        <w:jc w:val="both"/>
        <w:rPr>
          <w:rFonts w:ascii="Calibri" w:eastAsia="Calibri" w:hAnsi="Calibri" w:cs="Calibri"/>
          <w:b/>
          <w:color w:val="000000"/>
          <w:sz w:val="20"/>
          <w:szCs w:val="20"/>
        </w:rPr>
      </w:pPr>
      <w:r>
        <w:rPr>
          <w:rFonts w:ascii="Calibri" w:eastAsia="Calibri" w:hAnsi="Calibri" w:cs="Calibri"/>
          <w:b/>
          <w:color w:val="000000"/>
          <w:sz w:val="20"/>
          <w:szCs w:val="20"/>
        </w:rPr>
        <w:t>DIAGNÓSTICO Y MANEJO</w:t>
      </w:r>
    </w:p>
    <w:p w14:paraId="2BBBE4DF"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El diagnóstico de la hepatitis A se realiza mediante la detección de anticuerpos IgM contra el VHA, que son los primeros en elevarse tras la infección y tienen una alta sensibilidad ≥ 95% y especificidad ≥ 99%</w:t>
      </w:r>
      <w:r>
        <w:rPr>
          <w:rFonts w:ascii="Calibri" w:eastAsia="Calibri" w:hAnsi="Calibri" w:cs="Calibri"/>
          <w:color w:val="000000"/>
          <w:sz w:val="20"/>
          <w:szCs w:val="20"/>
          <w:vertAlign w:val="superscript"/>
        </w:rPr>
        <w:t>9</w:t>
      </w:r>
      <w:r>
        <w:rPr>
          <w:rFonts w:ascii="Calibri" w:eastAsia="Calibri" w:hAnsi="Calibri" w:cs="Calibri"/>
          <w:color w:val="000000"/>
          <w:sz w:val="20"/>
          <w:szCs w:val="20"/>
        </w:rPr>
        <w:t>. Es una enfermedad de notificación obligatoria, caso confirmado.</w:t>
      </w:r>
    </w:p>
    <w:p w14:paraId="624803F2"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No existe un tratamiento específico para la hepatitis A, y el manejo se basa en el soporte de los síntomas, evitando </w:t>
      </w:r>
      <w:proofErr w:type="spellStart"/>
      <w:r>
        <w:rPr>
          <w:rFonts w:ascii="Calibri" w:eastAsia="Calibri" w:hAnsi="Calibri" w:cs="Calibri"/>
          <w:color w:val="000000"/>
          <w:sz w:val="20"/>
          <w:szCs w:val="20"/>
        </w:rPr>
        <w:t>hepatotoxinas</w:t>
      </w:r>
      <w:proofErr w:type="spellEnd"/>
      <w:r>
        <w:rPr>
          <w:rFonts w:ascii="Calibri" w:eastAsia="Calibri" w:hAnsi="Calibri" w:cs="Calibri"/>
          <w:color w:val="000000"/>
          <w:sz w:val="20"/>
          <w:szCs w:val="20"/>
        </w:rPr>
        <w:t>. Se ha estudiado el uso de antivirales, pero hoy en día no están aprobados para su uso en hepatitis A</w:t>
      </w:r>
      <w:r>
        <w:rPr>
          <w:rFonts w:ascii="Calibri" w:eastAsia="Calibri" w:hAnsi="Calibri" w:cs="Calibri"/>
          <w:color w:val="000000"/>
          <w:sz w:val="20"/>
          <w:szCs w:val="20"/>
          <w:vertAlign w:val="superscript"/>
        </w:rPr>
        <w:t>10,11</w:t>
      </w:r>
      <w:r>
        <w:rPr>
          <w:rFonts w:ascii="Calibri" w:eastAsia="Calibri" w:hAnsi="Calibri" w:cs="Calibri"/>
          <w:color w:val="000000"/>
          <w:sz w:val="20"/>
          <w:szCs w:val="20"/>
        </w:rPr>
        <w:t xml:space="preserve">. </w:t>
      </w:r>
    </w:p>
    <w:p w14:paraId="4F08DA06" w14:textId="77777777" w:rsidR="00A013F2" w:rsidRDefault="00000000" w:rsidP="00A013F2">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La mayoría de las infecciones se resuelven sin complicaciones, un pequeño porcentaje de casos puede progresar a hepatitis fulminante. </w:t>
      </w:r>
    </w:p>
    <w:p w14:paraId="170CBFBF" w14:textId="77777777" w:rsidR="00A013F2" w:rsidRPr="00A013F2" w:rsidRDefault="00A013F2" w:rsidP="00A013F2">
      <w:p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En el contexto clínico, algunos hallazgos que sugieren un curso grave o una posible hepatitis fulminante son</w:t>
      </w:r>
      <w:r w:rsidRPr="00A013F2">
        <w:rPr>
          <w:rFonts w:ascii="Calibri" w:eastAsia="Calibri" w:hAnsi="Calibri" w:cs="Calibri"/>
          <w:color w:val="000000" w:themeColor="text1"/>
          <w:sz w:val="20"/>
          <w:szCs w:val="20"/>
        </w:rPr>
        <w:t>:</w:t>
      </w:r>
    </w:p>
    <w:p w14:paraId="40D98E82" w14:textId="77777777" w:rsidR="00A013F2" w:rsidRPr="00A013F2" w:rsidRDefault="00A013F2" w:rsidP="00A013F2">
      <w:pPr>
        <w:pStyle w:val="Prrafodelista"/>
        <w:numPr>
          <w:ilvl w:val="0"/>
          <w:numId w:val="6"/>
        </w:num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 xml:space="preserve">la ictericia como manifestación inicial más frecuente (82,4%), </w:t>
      </w:r>
    </w:p>
    <w:p w14:paraId="1634D629" w14:textId="77777777" w:rsidR="00A013F2" w:rsidRPr="00A013F2" w:rsidRDefault="00A013F2" w:rsidP="00A013F2">
      <w:pPr>
        <w:pStyle w:val="Prrafodelista"/>
        <w:numPr>
          <w:ilvl w:val="0"/>
          <w:numId w:val="6"/>
        </w:num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 xml:space="preserve">hepatomegalia (63,5%), </w:t>
      </w:r>
    </w:p>
    <w:p w14:paraId="5B4C2BDA" w14:textId="77777777" w:rsidR="00A013F2" w:rsidRPr="00A013F2" w:rsidRDefault="00A013F2" w:rsidP="00A013F2">
      <w:pPr>
        <w:pStyle w:val="Prrafodelista"/>
        <w:numPr>
          <w:ilvl w:val="0"/>
          <w:numId w:val="6"/>
        </w:num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 xml:space="preserve">esplenomegalia (29,7%), </w:t>
      </w:r>
    </w:p>
    <w:p w14:paraId="3CA5B626" w14:textId="77777777" w:rsidR="00A013F2" w:rsidRPr="00A013F2" w:rsidRDefault="00A013F2" w:rsidP="00A013F2">
      <w:pPr>
        <w:pStyle w:val="Prrafodelista"/>
        <w:numPr>
          <w:ilvl w:val="0"/>
          <w:numId w:val="6"/>
        </w:num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 xml:space="preserve">ascitis (21,6%) </w:t>
      </w:r>
    </w:p>
    <w:p w14:paraId="7DB0A30F" w14:textId="253FDCAA" w:rsidR="00A013F2" w:rsidRPr="00A013F2" w:rsidRDefault="00A013F2" w:rsidP="00A013F2">
      <w:pPr>
        <w:pStyle w:val="Prrafodelista"/>
        <w:numPr>
          <w:ilvl w:val="0"/>
          <w:numId w:val="6"/>
        </w:numPr>
        <w:spacing w:after="120"/>
        <w:jc w:val="both"/>
        <w:rPr>
          <w:rFonts w:ascii="Calibri" w:eastAsia="Calibri" w:hAnsi="Calibri" w:cs="Calibri"/>
          <w:color w:val="000000" w:themeColor="text1"/>
          <w:sz w:val="20"/>
          <w:szCs w:val="20"/>
        </w:rPr>
      </w:pPr>
      <w:r w:rsidRPr="00A013F2">
        <w:rPr>
          <w:rFonts w:ascii="Calibri" w:eastAsia="Calibri" w:hAnsi="Calibri" w:cs="Calibri"/>
          <w:color w:val="000000" w:themeColor="text1"/>
          <w:sz w:val="20"/>
          <w:szCs w:val="20"/>
        </w:rPr>
        <w:t xml:space="preserve">y edema </w:t>
      </w:r>
      <w:proofErr w:type="spellStart"/>
      <w:r w:rsidRPr="00A013F2">
        <w:rPr>
          <w:rFonts w:ascii="Calibri" w:eastAsia="Calibri" w:hAnsi="Calibri" w:cs="Calibri"/>
          <w:color w:val="000000" w:themeColor="text1"/>
          <w:sz w:val="20"/>
          <w:szCs w:val="20"/>
        </w:rPr>
        <w:t>pretibial</w:t>
      </w:r>
      <w:proofErr w:type="spellEnd"/>
      <w:r w:rsidRPr="00A013F2">
        <w:rPr>
          <w:rFonts w:ascii="Calibri" w:eastAsia="Calibri" w:hAnsi="Calibri" w:cs="Calibri"/>
          <w:color w:val="000000" w:themeColor="text1"/>
          <w:sz w:val="20"/>
          <w:szCs w:val="20"/>
        </w:rPr>
        <w:t xml:space="preserve"> (21,6%)</w:t>
      </w:r>
      <w:r w:rsidRPr="00A013F2">
        <w:rPr>
          <w:rFonts w:ascii="Calibri" w:eastAsia="Calibri" w:hAnsi="Calibri" w:cs="Calibri"/>
          <w:color w:val="000000" w:themeColor="text1"/>
          <w:sz w:val="20"/>
          <w:szCs w:val="20"/>
          <w:vertAlign w:val="superscript"/>
        </w:rPr>
        <w:t>1</w:t>
      </w:r>
      <w:r>
        <w:rPr>
          <w:rFonts w:ascii="Calibri" w:eastAsia="Calibri" w:hAnsi="Calibri" w:cs="Calibri"/>
          <w:color w:val="000000" w:themeColor="text1"/>
          <w:sz w:val="20"/>
          <w:szCs w:val="20"/>
          <w:vertAlign w:val="superscript"/>
        </w:rPr>
        <w:t>2</w:t>
      </w:r>
      <w:r w:rsidRPr="00A013F2">
        <w:rPr>
          <w:rFonts w:ascii="Calibri" w:eastAsia="Calibri" w:hAnsi="Calibri" w:cs="Calibri"/>
          <w:color w:val="000000" w:themeColor="text1"/>
          <w:sz w:val="20"/>
          <w:szCs w:val="20"/>
        </w:rPr>
        <w:t>.</w:t>
      </w:r>
    </w:p>
    <w:p w14:paraId="7FCC38F2" w14:textId="6FBCFBBE"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Algunos indicadores </w:t>
      </w:r>
      <w:r w:rsidR="00A013F2">
        <w:rPr>
          <w:rFonts w:ascii="Calibri" w:eastAsia="Calibri" w:hAnsi="Calibri" w:cs="Calibri"/>
          <w:color w:val="000000"/>
          <w:sz w:val="20"/>
          <w:szCs w:val="20"/>
        </w:rPr>
        <w:t xml:space="preserve">de laboratorio sugerentes </w:t>
      </w:r>
      <w:r>
        <w:rPr>
          <w:rFonts w:ascii="Calibri" w:eastAsia="Calibri" w:hAnsi="Calibri" w:cs="Calibri"/>
          <w:color w:val="000000"/>
          <w:sz w:val="20"/>
          <w:szCs w:val="20"/>
        </w:rPr>
        <w:t>de hepatitis fulminante son:</w:t>
      </w:r>
    </w:p>
    <w:p w14:paraId="58B19A8B" w14:textId="77777777" w:rsidR="0085147D" w:rsidRDefault="00000000">
      <w:pPr>
        <w:numPr>
          <w:ilvl w:val="0"/>
          <w:numId w:val="2"/>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tiempo de protrombina prolongado ≤ 40% </w:t>
      </w:r>
    </w:p>
    <w:p w14:paraId="30829F70" w14:textId="77777777" w:rsidR="0085147D" w:rsidRDefault="00000000">
      <w:pPr>
        <w:numPr>
          <w:ilvl w:val="0"/>
          <w:numId w:val="2"/>
        </w:num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t>bilirrubina ≥10 mg/</w:t>
      </w:r>
      <w:proofErr w:type="spellStart"/>
      <w:r>
        <w:rPr>
          <w:rFonts w:ascii="Calibri" w:eastAsia="Calibri" w:hAnsi="Calibri" w:cs="Calibri"/>
          <w:color w:val="000000"/>
          <w:sz w:val="20"/>
          <w:szCs w:val="20"/>
        </w:rPr>
        <w:t>dL</w:t>
      </w:r>
      <w:proofErr w:type="spellEnd"/>
      <w:r>
        <w:rPr>
          <w:rFonts w:ascii="Calibri" w:eastAsia="Calibri" w:hAnsi="Calibri" w:cs="Calibri"/>
          <w:color w:val="000000"/>
          <w:sz w:val="20"/>
          <w:szCs w:val="20"/>
        </w:rPr>
        <w:t xml:space="preserve"> sin hemólisis; </w:t>
      </w:r>
    </w:p>
    <w:p w14:paraId="1E2B5678" w14:textId="30E902A5"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El nivel de las transaminasas no son concordantes con la gravedad del paciente; estas pueden estar disminuidas por una depleción del hepatocito </w:t>
      </w:r>
      <w:r>
        <w:rPr>
          <w:rFonts w:ascii="Calibri" w:eastAsia="Calibri" w:hAnsi="Calibri" w:cs="Calibri"/>
          <w:color w:val="000000"/>
          <w:sz w:val="20"/>
          <w:szCs w:val="20"/>
          <w:vertAlign w:val="superscript"/>
        </w:rPr>
        <w:t>1</w:t>
      </w:r>
      <w:r w:rsidR="00A013F2">
        <w:rPr>
          <w:rFonts w:ascii="Calibri" w:eastAsia="Calibri" w:hAnsi="Calibri" w:cs="Calibri"/>
          <w:color w:val="000000"/>
          <w:sz w:val="20"/>
          <w:szCs w:val="20"/>
          <w:vertAlign w:val="superscript"/>
        </w:rPr>
        <w:t>3</w:t>
      </w:r>
      <w:r>
        <w:rPr>
          <w:rFonts w:ascii="Calibri" w:eastAsia="Calibri" w:hAnsi="Calibri" w:cs="Calibri"/>
          <w:color w:val="000000"/>
          <w:sz w:val="20"/>
          <w:szCs w:val="20"/>
        </w:rPr>
        <w:t>.</w:t>
      </w:r>
    </w:p>
    <w:p w14:paraId="731910FA" w14:textId="77777777" w:rsidR="00A013F2" w:rsidRDefault="00A013F2">
      <w:pPr>
        <w:spacing w:after="120"/>
        <w:jc w:val="both"/>
        <w:rPr>
          <w:rFonts w:ascii="Calibri" w:eastAsia="Calibri" w:hAnsi="Calibri" w:cs="Calibri"/>
          <w:b/>
          <w:color w:val="000000"/>
          <w:sz w:val="20"/>
          <w:szCs w:val="20"/>
        </w:rPr>
      </w:pPr>
    </w:p>
    <w:p w14:paraId="3FB1B67B" w14:textId="76173354" w:rsidR="0085147D" w:rsidRDefault="00000000">
      <w:pPr>
        <w:spacing w:after="120"/>
        <w:jc w:val="both"/>
        <w:rPr>
          <w:rFonts w:ascii="Calibri" w:eastAsia="Calibri" w:hAnsi="Calibri" w:cs="Calibri"/>
          <w:b/>
          <w:color w:val="000000"/>
          <w:sz w:val="20"/>
          <w:szCs w:val="20"/>
        </w:rPr>
      </w:pPr>
      <w:r>
        <w:rPr>
          <w:rFonts w:ascii="Calibri" w:eastAsia="Calibri" w:hAnsi="Calibri" w:cs="Calibri"/>
          <w:b/>
          <w:color w:val="000000"/>
          <w:sz w:val="20"/>
          <w:szCs w:val="20"/>
        </w:rPr>
        <w:t>VACUNACIÓN Y PREVENCIÓN</w:t>
      </w:r>
    </w:p>
    <w:p w14:paraId="1FB269BF" w14:textId="77777777" w:rsidR="0085147D" w:rsidRDefault="00000000">
      <w:pPr>
        <w:spacing w:after="120"/>
        <w:jc w:val="both"/>
        <w:rPr>
          <w:rFonts w:ascii="Calibri" w:eastAsia="Calibri" w:hAnsi="Calibri" w:cs="Calibri"/>
          <w:color w:val="000000"/>
          <w:sz w:val="20"/>
          <w:szCs w:val="20"/>
        </w:rPr>
      </w:pPr>
      <w:r>
        <w:rPr>
          <w:rFonts w:ascii="Calibri" w:eastAsia="Calibri" w:hAnsi="Calibri" w:cs="Calibri"/>
          <w:color w:val="000000"/>
          <w:sz w:val="20"/>
          <w:szCs w:val="20"/>
        </w:rPr>
        <w:t xml:space="preserve">Las vacunas han demostrado ser efectivas en la prevención de Hepatitis A. Una revisión sistemática de 2020 mostró </w:t>
      </w:r>
      <w:r>
        <w:rPr>
          <w:rFonts w:ascii="Calibri" w:eastAsia="Calibri" w:hAnsi="Calibri" w:cs="Calibri"/>
          <w:color w:val="000000"/>
          <w:sz w:val="20"/>
          <w:szCs w:val="20"/>
          <w:vertAlign w:val="superscript"/>
        </w:rPr>
        <w:t>(1</w:t>
      </w:r>
      <w:r>
        <w:rPr>
          <w:rFonts w:ascii="Calibri" w:eastAsia="Calibri" w:hAnsi="Calibri" w:cs="Calibri"/>
          <w:sz w:val="20"/>
          <w:szCs w:val="20"/>
          <w:vertAlign w:val="superscript"/>
        </w:rPr>
        <w:t>4</w:t>
      </w:r>
      <w:r>
        <w:rPr>
          <w:rFonts w:ascii="Calibri" w:eastAsia="Calibri" w:hAnsi="Calibri" w:cs="Calibri"/>
          <w:color w:val="000000"/>
          <w:sz w:val="20"/>
          <w:szCs w:val="20"/>
          <w:vertAlign w:val="superscript"/>
        </w:rPr>
        <w:t>)</w:t>
      </w:r>
      <w:r>
        <w:rPr>
          <w:rFonts w:ascii="Calibri" w:eastAsia="Calibri" w:hAnsi="Calibri" w:cs="Calibri"/>
          <w:color w:val="000000"/>
          <w:sz w:val="20"/>
          <w:szCs w:val="20"/>
        </w:rPr>
        <w:t>:</w:t>
      </w:r>
    </w:p>
    <w:p w14:paraId="1A8F8ECB" w14:textId="77777777" w:rsidR="0085147D" w:rsidRDefault="00000000">
      <w:pPr>
        <w:numPr>
          <w:ilvl w:val="0"/>
          <w:numId w:val="1"/>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 xml:space="preserve">una notable disminución en la incidencia de la hepatitis A, que se mantuvo durante 14 años con dos dosis de la vacuna y durante 6 años con una sola dosis. </w:t>
      </w:r>
    </w:p>
    <w:p w14:paraId="1065C363" w14:textId="77777777" w:rsidR="0085147D" w:rsidRDefault="00000000">
      <w:pPr>
        <w:numPr>
          <w:ilvl w:val="0"/>
          <w:numId w:val="1"/>
        </w:numPr>
        <w:pBdr>
          <w:top w:val="nil"/>
          <w:left w:val="nil"/>
          <w:bottom w:val="nil"/>
          <w:right w:val="nil"/>
          <w:between w:val="nil"/>
        </w:pBdr>
        <w:spacing w:after="120"/>
        <w:jc w:val="both"/>
        <w:rPr>
          <w:rFonts w:ascii="Calibri" w:eastAsia="Calibri" w:hAnsi="Calibri" w:cs="Calibri"/>
          <w:color w:val="000000"/>
          <w:sz w:val="20"/>
          <w:szCs w:val="20"/>
        </w:rPr>
      </w:pPr>
      <w:r>
        <w:rPr>
          <w:rFonts w:ascii="Calibri" w:eastAsia="Calibri" w:hAnsi="Calibri" w:cs="Calibri"/>
          <w:color w:val="000000"/>
          <w:sz w:val="20"/>
          <w:szCs w:val="20"/>
        </w:rPr>
        <w:lastRenderedPageBreak/>
        <w:t xml:space="preserve">una persistencia de anticuerpos ≥90% durante 15 años con dos dosis y de ≥74% durante 10 años con una dosis. </w:t>
      </w:r>
    </w:p>
    <w:p w14:paraId="2B0564F0" w14:textId="77777777" w:rsidR="0085147D" w:rsidRDefault="00000000">
      <w:pPr>
        <w:spacing w:after="120"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La evidencia actual sugiere administrar dos dosis de vacunas contra el VHA no vivas para asegurar una protección a largo plazo y una revacunación después de 15 años, considerando el tiempo de seguimiento de los estudios. </w:t>
      </w:r>
    </w:p>
    <w:p w14:paraId="08FE18F7" w14:textId="77777777" w:rsidR="0085147D" w:rsidRDefault="00000000">
      <w:pPr>
        <w:spacing w:after="120" w:line="259"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Chile ha optado por una estrategia de una sola dosis en el PNI, apoyada por la baja endemicidad del VHA y la </w:t>
      </w:r>
      <w:proofErr w:type="spellStart"/>
      <w:r>
        <w:rPr>
          <w:rFonts w:ascii="Calibri" w:eastAsia="Calibri" w:hAnsi="Calibri" w:cs="Calibri"/>
          <w:color w:val="000000"/>
          <w:sz w:val="20"/>
          <w:szCs w:val="20"/>
        </w:rPr>
        <w:t>costo</w:t>
      </w:r>
      <w:proofErr w:type="spellEnd"/>
      <w:r>
        <w:rPr>
          <w:rFonts w:ascii="Calibri" w:eastAsia="Calibri" w:hAnsi="Calibri" w:cs="Calibri"/>
          <w:color w:val="000000"/>
          <w:sz w:val="20"/>
          <w:szCs w:val="20"/>
        </w:rPr>
        <w:t xml:space="preserve">-efectividad de esta medida; estrategia avalada por la OMS. </w:t>
      </w:r>
    </w:p>
    <w:p w14:paraId="1710840A" w14:textId="77777777" w:rsidR="0085147D" w:rsidRDefault="00000000">
      <w:pPr>
        <w:spacing w:line="276" w:lineRule="auto"/>
        <w:jc w:val="both"/>
        <w:rPr>
          <w:rFonts w:ascii="Calibri" w:eastAsia="Calibri" w:hAnsi="Calibri" w:cs="Calibri"/>
          <w:color w:val="000000"/>
          <w:sz w:val="20"/>
          <w:szCs w:val="20"/>
        </w:rPr>
      </w:pPr>
      <w:r>
        <w:rPr>
          <w:rFonts w:ascii="Calibri" w:eastAsia="Calibri" w:hAnsi="Calibri" w:cs="Calibri"/>
          <w:b/>
          <w:color w:val="000000"/>
          <w:sz w:val="20"/>
          <w:szCs w:val="20"/>
        </w:rPr>
        <w:t>CONCLUSIONES</w:t>
      </w:r>
      <w:r>
        <w:rPr>
          <w:rFonts w:ascii="Calibri" w:eastAsia="Calibri" w:hAnsi="Calibri" w:cs="Calibri"/>
          <w:color w:val="000000"/>
          <w:sz w:val="20"/>
          <w:szCs w:val="20"/>
        </w:rPr>
        <w:t xml:space="preserve"> </w:t>
      </w:r>
    </w:p>
    <w:p w14:paraId="6FA631F8" w14:textId="77777777" w:rsidR="0085147D" w:rsidRDefault="00000000">
      <w:pPr>
        <w:numPr>
          <w:ilvl w:val="0"/>
          <w:numId w:val="4"/>
        </w:num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La Hepatitis A es una enfermedad prevenible mediante la vacunación.</w:t>
      </w:r>
    </w:p>
    <w:p w14:paraId="55D7FC17" w14:textId="77777777" w:rsidR="0085147D" w:rsidRDefault="00000000">
      <w:pPr>
        <w:numPr>
          <w:ilvl w:val="0"/>
          <w:numId w:val="4"/>
        </w:num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En Chile, la introducción de la vacuna en el PNI ha resultado en una disminución significativa de la incidencia de la enfermedad.</w:t>
      </w:r>
    </w:p>
    <w:p w14:paraId="59EEE814" w14:textId="77777777" w:rsidR="0085147D" w:rsidRDefault="00000000">
      <w:pPr>
        <w:numPr>
          <w:ilvl w:val="0"/>
          <w:numId w:val="4"/>
        </w:num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El manejo de la hepatitis A es de soporte, sin un tratamiento específico disponible, pero con un enfoque en la prevención a través de la vacunación y la mejora de las condiciones sanitarias.</w:t>
      </w:r>
    </w:p>
    <w:p w14:paraId="3D4A2C6B" w14:textId="77777777" w:rsidR="0085147D" w:rsidRDefault="00000000">
      <w:pPr>
        <w:numPr>
          <w:ilvl w:val="0"/>
          <w:numId w:val="4"/>
        </w:numP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Se debe estar alerta a los indicadores de mal pronóstico, y derivar precozmente si se sospecha una hepatitis fulminante.</w:t>
      </w:r>
    </w:p>
    <w:p w14:paraId="6196E6F3" w14:textId="77777777" w:rsidR="0085147D" w:rsidRDefault="0085147D">
      <w:pPr>
        <w:spacing w:line="276" w:lineRule="auto"/>
        <w:ind w:left="720"/>
        <w:jc w:val="both"/>
        <w:rPr>
          <w:rFonts w:ascii="Calibri" w:eastAsia="Calibri" w:hAnsi="Calibri" w:cs="Calibri"/>
          <w:color w:val="000000"/>
          <w:sz w:val="20"/>
          <w:szCs w:val="20"/>
        </w:rPr>
      </w:pPr>
    </w:p>
    <w:p w14:paraId="7526EF8F" w14:textId="77777777" w:rsidR="0085147D" w:rsidRDefault="00000000">
      <w:pPr>
        <w:jc w:val="both"/>
        <w:rPr>
          <w:rFonts w:ascii="Calibri" w:eastAsia="Calibri" w:hAnsi="Calibri" w:cs="Calibri"/>
          <w:b/>
          <w:color w:val="000000"/>
          <w:sz w:val="20"/>
          <w:szCs w:val="20"/>
        </w:rPr>
      </w:pPr>
      <w:r>
        <w:rPr>
          <w:rFonts w:ascii="Calibri" w:eastAsia="Calibri" w:hAnsi="Calibri" w:cs="Calibri"/>
          <w:b/>
          <w:color w:val="000000"/>
          <w:sz w:val="20"/>
          <w:szCs w:val="20"/>
        </w:rPr>
        <w:t xml:space="preserve">REFERENCIAS </w:t>
      </w:r>
    </w:p>
    <w:p w14:paraId="71C147BE" w14:textId="77777777" w:rsidR="0085147D" w:rsidRDefault="0085147D">
      <w:pPr>
        <w:jc w:val="both"/>
        <w:rPr>
          <w:rFonts w:ascii="Calibri" w:eastAsia="Calibri" w:hAnsi="Calibri" w:cs="Calibri"/>
          <w:b/>
          <w:color w:val="000000"/>
          <w:sz w:val="20"/>
          <w:szCs w:val="20"/>
        </w:rPr>
      </w:pPr>
    </w:p>
    <w:p w14:paraId="1EEA3B89"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Rodríguez Silva L. Hepatitis virales agudas. En: P. Jara, ed. Enfermedad hepática en el niño. Ed: Tile </w:t>
      </w:r>
      <w:proofErr w:type="spellStart"/>
      <w:r>
        <w:rPr>
          <w:rFonts w:ascii="Calibri" w:eastAsia="Calibri" w:hAnsi="Calibri" w:cs="Calibri"/>
          <w:color w:val="000000"/>
          <w:sz w:val="18"/>
          <w:szCs w:val="18"/>
        </w:rPr>
        <w:t>Von</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Spain</w:t>
      </w:r>
      <w:proofErr w:type="spellEnd"/>
      <w:r>
        <w:rPr>
          <w:rFonts w:ascii="Calibri" w:eastAsia="Calibri" w:hAnsi="Calibri" w:cs="Calibri"/>
          <w:color w:val="000000"/>
          <w:sz w:val="18"/>
          <w:szCs w:val="18"/>
        </w:rPr>
        <w:t>; 2013. p. 205-31.</w:t>
      </w:r>
    </w:p>
    <w:p w14:paraId="1AFAC5D2"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Centros de Control y Prevención de Enfermedades. Hepatitis viral mundial: millones de personas están afectadas. </w:t>
      </w:r>
      <w:r>
        <w:fldChar w:fldCharType="begin"/>
      </w:r>
      <w:r>
        <w:instrText>HYPERLINK "https://www.cdc.gov/hepatitis/global/index.htm" \h</w:instrText>
      </w:r>
      <w:r>
        <w:fldChar w:fldCharType="separate"/>
      </w:r>
      <w:r>
        <w:rPr>
          <w:rFonts w:ascii="Calibri" w:eastAsia="Calibri" w:hAnsi="Calibri" w:cs="Calibri"/>
          <w:color w:val="000000"/>
          <w:sz w:val="18"/>
          <w:szCs w:val="18"/>
          <w:u w:val="single"/>
        </w:rPr>
        <w:t>https://www.cdc.gov/hepatitis/global/index.htm</w:t>
      </w:r>
      <w:r>
        <w:rPr>
          <w:rFonts w:ascii="Calibri" w:eastAsia="Calibri" w:hAnsi="Calibri" w:cs="Calibri"/>
          <w:color w:val="000000"/>
          <w:sz w:val="18"/>
          <w:szCs w:val="18"/>
          <w:u w:val="single"/>
        </w:rPr>
        <w:fldChar w:fldCharType="end"/>
      </w:r>
      <w:r>
        <w:rPr>
          <w:rFonts w:ascii="Calibri" w:eastAsia="Calibri" w:hAnsi="Calibri" w:cs="Calibri"/>
          <w:color w:val="000000"/>
          <w:sz w:val="18"/>
          <w:szCs w:val="18"/>
        </w:rPr>
        <w:t>. Última revisión: 19 de julio de 2021. Consultado el 20 de mayo 2024.</w:t>
      </w:r>
    </w:p>
    <w:p w14:paraId="2183D4F8" w14:textId="77777777" w:rsidR="0085147D" w:rsidRDefault="00000000">
      <w:pPr>
        <w:numPr>
          <w:ilvl w:val="0"/>
          <w:numId w:val="5"/>
        </w:numPr>
        <w:spacing w:line="276" w:lineRule="auto"/>
        <w:jc w:val="both"/>
        <w:rPr>
          <w:rFonts w:ascii="Calibri" w:eastAsia="Calibri" w:hAnsi="Calibri" w:cs="Calibri"/>
          <w:color w:val="000000"/>
          <w:sz w:val="18"/>
          <w:szCs w:val="18"/>
        </w:rPr>
      </w:pPr>
      <w:proofErr w:type="spellStart"/>
      <w:r>
        <w:rPr>
          <w:rFonts w:ascii="Calibri" w:eastAsia="Calibri" w:hAnsi="Calibri" w:cs="Calibri"/>
          <w:color w:val="000000"/>
          <w:sz w:val="18"/>
          <w:szCs w:val="18"/>
        </w:rPr>
        <w:t>Andani</w:t>
      </w:r>
      <w:proofErr w:type="spellEnd"/>
      <w:r>
        <w:rPr>
          <w:rFonts w:ascii="Calibri" w:eastAsia="Calibri" w:hAnsi="Calibri" w:cs="Calibri"/>
          <w:color w:val="000000"/>
          <w:sz w:val="18"/>
          <w:szCs w:val="18"/>
        </w:rPr>
        <w:t xml:space="preserve"> A, van </w:t>
      </w:r>
      <w:proofErr w:type="spellStart"/>
      <w:r>
        <w:rPr>
          <w:rFonts w:ascii="Calibri" w:eastAsia="Calibri" w:hAnsi="Calibri" w:cs="Calibri"/>
          <w:color w:val="000000"/>
          <w:sz w:val="18"/>
          <w:szCs w:val="18"/>
        </w:rPr>
        <w:t>Elten</w:t>
      </w:r>
      <w:proofErr w:type="spellEnd"/>
      <w:r>
        <w:rPr>
          <w:rFonts w:ascii="Calibri" w:eastAsia="Calibri" w:hAnsi="Calibri" w:cs="Calibri"/>
          <w:color w:val="000000"/>
          <w:sz w:val="18"/>
          <w:szCs w:val="18"/>
        </w:rPr>
        <w:t xml:space="preserve"> TM, Bunge EM, Marano C, Salgado F, Jacobsen KH. </w:t>
      </w:r>
      <w:r w:rsidRPr="00A013F2">
        <w:rPr>
          <w:rFonts w:ascii="Calibri" w:eastAsia="Calibri" w:hAnsi="Calibri" w:cs="Calibri"/>
          <w:color w:val="000000"/>
          <w:sz w:val="18"/>
          <w:szCs w:val="18"/>
          <w:lang w:val="en-US"/>
        </w:rPr>
        <w:t xml:space="preserve">Hepatitis A epidemiology in Latin American countries: a 2020 view from a systematic literature review. </w:t>
      </w:r>
      <w:r>
        <w:rPr>
          <w:rFonts w:ascii="Calibri" w:eastAsia="Calibri" w:hAnsi="Calibri" w:cs="Calibri"/>
          <w:color w:val="000000"/>
          <w:sz w:val="18"/>
          <w:szCs w:val="18"/>
        </w:rPr>
        <w:t xml:space="preserve">Expert </w:t>
      </w:r>
      <w:proofErr w:type="spellStart"/>
      <w:r>
        <w:rPr>
          <w:rFonts w:ascii="Calibri" w:eastAsia="Calibri" w:hAnsi="Calibri" w:cs="Calibri"/>
          <w:color w:val="000000"/>
          <w:sz w:val="18"/>
          <w:szCs w:val="18"/>
        </w:rPr>
        <w:t>Rev</w:t>
      </w:r>
      <w:proofErr w:type="spellEnd"/>
      <w:r>
        <w:rPr>
          <w:rFonts w:ascii="Calibri" w:eastAsia="Calibri" w:hAnsi="Calibri" w:cs="Calibri"/>
          <w:color w:val="000000"/>
          <w:sz w:val="18"/>
          <w:szCs w:val="18"/>
        </w:rPr>
        <w:t xml:space="preserve"> </w:t>
      </w:r>
      <w:proofErr w:type="spellStart"/>
      <w:r>
        <w:rPr>
          <w:rFonts w:ascii="Calibri" w:eastAsia="Calibri" w:hAnsi="Calibri" w:cs="Calibri"/>
          <w:color w:val="000000"/>
          <w:sz w:val="18"/>
          <w:szCs w:val="18"/>
        </w:rPr>
        <w:t>Vaccines</w:t>
      </w:r>
      <w:proofErr w:type="spellEnd"/>
      <w:r>
        <w:rPr>
          <w:rFonts w:ascii="Calibri" w:eastAsia="Calibri" w:hAnsi="Calibri" w:cs="Calibri"/>
          <w:color w:val="000000"/>
          <w:sz w:val="18"/>
          <w:szCs w:val="18"/>
        </w:rPr>
        <w:t xml:space="preserve">. 2020 Sep;19(9):795-805. </w:t>
      </w:r>
      <w:proofErr w:type="spellStart"/>
      <w:r>
        <w:rPr>
          <w:rFonts w:ascii="Calibri" w:eastAsia="Calibri" w:hAnsi="Calibri" w:cs="Calibri"/>
          <w:color w:val="000000"/>
          <w:sz w:val="18"/>
          <w:szCs w:val="18"/>
        </w:rPr>
        <w:t>doi</w:t>
      </w:r>
      <w:proofErr w:type="spellEnd"/>
      <w:r>
        <w:rPr>
          <w:rFonts w:ascii="Calibri" w:eastAsia="Calibri" w:hAnsi="Calibri" w:cs="Calibri"/>
          <w:color w:val="000000"/>
          <w:sz w:val="18"/>
          <w:szCs w:val="18"/>
        </w:rPr>
        <w:t xml:space="preserve">: 10.1080/14760584.2020.1813575. </w:t>
      </w:r>
      <w:proofErr w:type="spellStart"/>
      <w:r>
        <w:rPr>
          <w:rFonts w:ascii="Calibri" w:eastAsia="Calibri" w:hAnsi="Calibri" w:cs="Calibri"/>
          <w:color w:val="000000"/>
          <w:sz w:val="18"/>
          <w:szCs w:val="18"/>
        </w:rPr>
        <w:t>Epub</w:t>
      </w:r>
      <w:proofErr w:type="spellEnd"/>
      <w:r>
        <w:rPr>
          <w:rFonts w:ascii="Calibri" w:eastAsia="Calibri" w:hAnsi="Calibri" w:cs="Calibri"/>
          <w:color w:val="000000"/>
          <w:sz w:val="18"/>
          <w:szCs w:val="18"/>
        </w:rPr>
        <w:t xml:space="preserve"> 2020 </w:t>
      </w:r>
      <w:proofErr w:type="spellStart"/>
      <w:r>
        <w:rPr>
          <w:rFonts w:ascii="Calibri" w:eastAsia="Calibri" w:hAnsi="Calibri" w:cs="Calibri"/>
          <w:color w:val="000000"/>
          <w:sz w:val="18"/>
          <w:szCs w:val="18"/>
        </w:rPr>
        <w:t>Sep</w:t>
      </w:r>
      <w:proofErr w:type="spellEnd"/>
      <w:r>
        <w:rPr>
          <w:rFonts w:ascii="Calibri" w:eastAsia="Calibri" w:hAnsi="Calibri" w:cs="Calibri"/>
          <w:color w:val="000000"/>
          <w:sz w:val="18"/>
          <w:szCs w:val="18"/>
        </w:rPr>
        <w:t xml:space="preserve"> 21. PMID: 32955965.</w:t>
      </w:r>
    </w:p>
    <w:p w14:paraId="598DF31A"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 xml:space="preserve">J.M. </w:t>
      </w:r>
      <w:proofErr w:type="spellStart"/>
      <w:r>
        <w:rPr>
          <w:rFonts w:ascii="Calibri" w:eastAsia="Calibri" w:hAnsi="Calibri" w:cs="Calibri"/>
          <w:color w:val="000000"/>
          <w:sz w:val="18"/>
          <w:szCs w:val="18"/>
        </w:rPr>
        <w:t>Marugán</w:t>
      </w:r>
      <w:proofErr w:type="spellEnd"/>
      <w:r>
        <w:rPr>
          <w:rFonts w:ascii="Calibri" w:eastAsia="Calibri" w:hAnsi="Calibri" w:cs="Calibri"/>
          <w:color w:val="000000"/>
          <w:sz w:val="18"/>
          <w:szCs w:val="18"/>
        </w:rPr>
        <w:t xml:space="preserve"> de </w:t>
      </w:r>
      <w:proofErr w:type="spellStart"/>
      <w:r>
        <w:rPr>
          <w:rFonts w:ascii="Calibri" w:eastAsia="Calibri" w:hAnsi="Calibri" w:cs="Calibri"/>
          <w:color w:val="000000"/>
          <w:sz w:val="18"/>
          <w:szCs w:val="18"/>
        </w:rPr>
        <w:t>Miguelsanz</w:t>
      </w:r>
      <w:proofErr w:type="spellEnd"/>
      <w:r>
        <w:rPr>
          <w:rFonts w:ascii="Calibri" w:eastAsia="Calibri" w:hAnsi="Calibri" w:cs="Calibri"/>
          <w:color w:val="000000"/>
          <w:sz w:val="18"/>
          <w:szCs w:val="18"/>
        </w:rPr>
        <w:t xml:space="preserve">, M.C. Torres Hinojal. Hepatitis viral. </w:t>
      </w:r>
      <w:proofErr w:type="spellStart"/>
      <w:r>
        <w:rPr>
          <w:rFonts w:ascii="Calibri" w:eastAsia="Calibri" w:hAnsi="Calibri" w:cs="Calibri"/>
          <w:color w:val="000000"/>
          <w:sz w:val="18"/>
          <w:szCs w:val="18"/>
        </w:rPr>
        <w:t>Pediatr</w:t>
      </w:r>
      <w:proofErr w:type="spellEnd"/>
      <w:r>
        <w:rPr>
          <w:rFonts w:ascii="Calibri" w:eastAsia="Calibri" w:hAnsi="Calibri" w:cs="Calibri"/>
          <w:color w:val="000000"/>
          <w:sz w:val="18"/>
          <w:szCs w:val="18"/>
        </w:rPr>
        <w:t xml:space="preserve"> Integral 2015; XIX (3): 198-204.</w:t>
      </w:r>
    </w:p>
    <w:p w14:paraId="35B41173"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Cárdenas AM, Ortiz Rivera CJ, Correa RA. Falla hepática aguda en pediatría. Revista chilena de pediatría, 91(3), 457-465. </w:t>
      </w:r>
      <w:r>
        <w:fldChar w:fldCharType="begin"/>
      </w:r>
      <w:r>
        <w:instrText>HYPERLINK "https://dx.doi.org/10.32641/rchped.v91i3.1284" \h</w:instrText>
      </w:r>
      <w:r>
        <w:fldChar w:fldCharType="separate"/>
      </w:r>
      <w:r>
        <w:rPr>
          <w:rFonts w:ascii="Calibri" w:eastAsia="Calibri" w:hAnsi="Calibri" w:cs="Calibri"/>
          <w:color w:val="000000"/>
          <w:sz w:val="18"/>
          <w:szCs w:val="18"/>
          <w:u w:val="single"/>
        </w:rPr>
        <w:t>https://dx.doi.org/10.32641/rchped.v91i3.1284</w:t>
      </w:r>
      <w:r>
        <w:rPr>
          <w:rFonts w:ascii="Calibri" w:eastAsia="Calibri" w:hAnsi="Calibri" w:cs="Calibri"/>
          <w:color w:val="000000"/>
          <w:sz w:val="18"/>
          <w:szCs w:val="18"/>
          <w:u w:val="single"/>
        </w:rPr>
        <w:fldChar w:fldCharType="end"/>
      </w:r>
      <w:r>
        <w:rPr>
          <w:rFonts w:ascii="Calibri" w:eastAsia="Calibri" w:hAnsi="Calibri" w:cs="Calibri"/>
          <w:color w:val="000000"/>
          <w:sz w:val="18"/>
          <w:szCs w:val="18"/>
        </w:rPr>
        <w:t>.</w:t>
      </w:r>
    </w:p>
    <w:p w14:paraId="580E3CEC" w14:textId="77777777" w:rsidR="0085147D" w:rsidRDefault="00000000">
      <w:pPr>
        <w:numPr>
          <w:ilvl w:val="0"/>
          <w:numId w:val="5"/>
        </w:numPr>
        <w:spacing w:line="276" w:lineRule="auto"/>
        <w:jc w:val="both"/>
        <w:rPr>
          <w:rFonts w:ascii="Calibri" w:eastAsia="Calibri" w:hAnsi="Calibri" w:cs="Calibri"/>
          <w:color w:val="000000"/>
          <w:sz w:val="18"/>
          <w:szCs w:val="18"/>
        </w:rPr>
      </w:pPr>
      <w:r w:rsidRPr="00A013F2">
        <w:rPr>
          <w:rFonts w:ascii="Calibri" w:eastAsia="Calibri" w:hAnsi="Calibri" w:cs="Calibri"/>
          <w:color w:val="000000"/>
          <w:sz w:val="18"/>
          <w:szCs w:val="18"/>
          <w:lang w:val="en-US"/>
        </w:rPr>
        <w:t>OMS 2023, hepatitis A. </w:t>
      </w:r>
      <w:hyperlink r:id="rId8">
        <w:r w:rsidRPr="00A013F2">
          <w:rPr>
            <w:rFonts w:ascii="Calibri" w:eastAsia="Calibri" w:hAnsi="Calibri" w:cs="Calibri"/>
            <w:color w:val="000000"/>
            <w:sz w:val="18"/>
            <w:szCs w:val="18"/>
            <w:u w:val="single"/>
            <w:lang w:val="en-US"/>
          </w:rPr>
          <w:t>https://www.who.int/es/news-room/fact-sheets/detail/hepatitis-a</w:t>
        </w:r>
      </w:hyperlink>
      <w:r w:rsidRPr="00A013F2">
        <w:rPr>
          <w:rFonts w:ascii="Calibri" w:eastAsia="Calibri" w:hAnsi="Calibri" w:cs="Calibri"/>
          <w:color w:val="000000"/>
          <w:sz w:val="18"/>
          <w:szCs w:val="18"/>
          <w:lang w:val="en-US"/>
        </w:rPr>
        <w:t xml:space="preserve">. </w:t>
      </w:r>
      <w:r>
        <w:rPr>
          <w:rFonts w:ascii="Calibri" w:eastAsia="Calibri" w:hAnsi="Calibri" w:cs="Calibri"/>
          <w:color w:val="000000"/>
          <w:sz w:val="18"/>
          <w:szCs w:val="18"/>
        </w:rPr>
        <w:t>Publicado el 20 Julio de 2023. Consultado el 20 de mayo 2024.</w:t>
      </w:r>
    </w:p>
    <w:p w14:paraId="354402E6"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Rojas-Peláez Y, et al. Actualización sobre hepatitis A. Archivos Médicos de Camagüey, 26, e8858. Recuperado de </w:t>
      </w:r>
      <w:hyperlink r:id="rId9">
        <w:r>
          <w:rPr>
            <w:rFonts w:ascii="Calibri" w:eastAsia="Calibri" w:hAnsi="Calibri" w:cs="Calibri"/>
            <w:color w:val="000000"/>
            <w:sz w:val="18"/>
            <w:szCs w:val="18"/>
            <w:u w:val="single"/>
          </w:rPr>
          <w:t>http://scielo.sld.cu/scielo.php?script=sci_arttext&amp;pid=S1025-02552022000100062</w:t>
        </w:r>
      </w:hyperlink>
      <w:r>
        <w:rPr>
          <w:rFonts w:ascii="Calibri" w:eastAsia="Calibri" w:hAnsi="Calibri" w:cs="Calibri"/>
          <w:color w:val="000000"/>
          <w:sz w:val="18"/>
          <w:szCs w:val="18"/>
        </w:rPr>
        <w:t>.</w:t>
      </w:r>
    </w:p>
    <w:p w14:paraId="0D30113E" w14:textId="77777777" w:rsidR="0085147D" w:rsidRDefault="00000000">
      <w:pPr>
        <w:numPr>
          <w:ilvl w:val="0"/>
          <w:numId w:val="5"/>
        </w:numPr>
        <w:spacing w:line="276" w:lineRule="auto"/>
        <w:jc w:val="both"/>
        <w:rPr>
          <w:rFonts w:ascii="Calibri" w:eastAsia="Calibri" w:hAnsi="Calibri" w:cs="Calibri"/>
          <w:color w:val="000000"/>
          <w:sz w:val="18"/>
          <w:szCs w:val="18"/>
        </w:rPr>
      </w:pPr>
      <w:proofErr w:type="spellStart"/>
      <w:r w:rsidRPr="00A013F2">
        <w:rPr>
          <w:rFonts w:ascii="Calibri" w:eastAsia="Calibri" w:hAnsi="Calibri" w:cs="Calibri"/>
          <w:color w:val="000000"/>
          <w:sz w:val="18"/>
          <w:szCs w:val="18"/>
          <w:lang w:val="en-US"/>
        </w:rPr>
        <w:t>Langan</w:t>
      </w:r>
      <w:proofErr w:type="spellEnd"/>
      <w:r w:rsidRPr="00A013F2">
        <w:rPr>
          <w:rFonts w:ascii="Calibri" w:eastAsia="Calibri" w:hAnsi="Calibri" w:cs="Calibri"/>
          <w:color w:val="000000"/>
          <w:sz w:val="18"/>
          <w:szCs w:val="18"/>
          <w:lang w:val="en-US"/>
        </w:rPr>
        <w:t xml:space="preserve"> RC, </w:t>
      </w:r>
      <w:proofErr w:type="spellStart"/>
      <w:r w:rsidRPr="00A013F2">
        <w:rPr>
          <w:rFonts w:ascii="Calibri" w:eastAsia="Calibri" w:hAnsi="Calibri" w:cs="Calibri"/>
          <w:color w:val="000000"/>
          <w:sz w:val="18"/>
          <w:szCs w:val="18"/>
          <w:lang w:val="en-US"/>
        </w:rPr>
        <w:t>Goodbred</w:t>
      </w:r>
      <w:proofErr w:type="spellEnd"/>
      <w:r w:rsidRPr="00A013F2">
        <w:rPr>
          <w:rFonts w:ascii="Calibri" w:eastAsia="Calibri" w:hAnsi="Calibri" w:cs="Calibri"/>
          <w:color w:val="000000"/>
          <w:sz w:val="18"/>
          <w:szCs w:val="18"/>
          <w:lang w:val="en-US"/>
        </w:rPr>
        <w:t xml:space="preserve"> AJ. Hepatitis A. Am Fam Physician. </w:t>
      </w:r>
      <w:r>
        <w:rPr>
          <w:rFonts w:ascii="Calibri" w:eastAsia="Calibri" w:hAnsi="Calibri" w:cs="Calibri"/>
          <w:color w:val="000000"/>
          <w:sz w:val="18"/>
          <w:szCs w:val="18"/>
        </w:rPr>
        <w:t>2021 Oct 1;104(4):368-374. PMID: 34652109.</w:t>
      </w:r>
    </w:p>
    <w:p w14:paraId="08122948" w14:textId="77777777" w:rsidR="0085147D" w:rsidRDefault="00000000">
      <w:pPr>
        <w:numPr>
          <w:ilvl w:val="0"/>
          <w:numId w:val="5"/>
        </w:numPr>
        <w:spacing w:line="276" w:lineRule="auto"/>
        <w:jc w:val="both"/>
        <w:rPr>
          <w:rFonts w:ascii="Calibri" w:eastAsia="Calibri" w:hAnsi="Calibri" w:cs="Calibri"/>
          <w:color w:val="000000"/>
          <w:sz w:val="18"/>
          <w:szCs w:val="18"/>
        </w:rPr>
      </w:pPr>
      <w:r w:rsidRPr="00A013F2">
        <w:rPr>
          <w:rFonts w:ascii="Calibri" w:eastAsia="Calibri" w:hAnsi="Calibri" w:cs="Calibri"/>
          <w:color w:val="000000"/>
          <w:sz w:val="18"/>
          <w:szCs w:val="18"/>
          <w:lang w:val="en-US"/>
        </w:rPr>
        <w:t xml:space="preserve">Shin EC, </w:t>
      </w:r>
      <w:proofErr w:type="spellStart"/>
      <w:r w:rsidRPr="00A013F2">
        <w:rPr>
          <w:rFonts w:ascii="Calibri" w:eastAsia="Calibri" w:hAnsi="Calibri" w:cs="Calibri"/>
          <w:color w:val="000000"/>
          <w:sz w:val="18"/>
          <w:szCs w:val="18"/>
          <w:lang w:val="en-US"/>
        </w:rPr>
        <w:t>Jeong</w:t>
      </w:r>
      <w:proofErr w:type="spellEnd"/>
      <w:r w:rsidRPr="00A013F2">
        <w:rPr>
          <w:rFonts w:ascii="Calibri" w:eastAsia="Calibri" w:hAnsi="Calibri" w:cs="Calibri"/>
          <w:color w:val="000000"/>
          <w:sz w:val="18"/>
          <w:szCs w:val="18"/>
          <w:lang w:val="en-US"/>
        </w:rPr>
        <w:t xml:space="preserve"> SH. Natural History, Clinical Manifestations, and Pathogenesis of Hepatitis A. Cold Spring </w:t>
      </w:r>
      <w:proofErr w:type="spellStart"/>
      <w:r w:rsidRPr="00A013F2">
        <w:rPr>
          <w:rFonts w:ascii="Calibri" w:eastAsia="Calibri" w:hAnsi="Calibri" w:cs="Calibri"/>
          <w:color w:val="000000"/>
          <w:sz w:val="18"/>
          <w:szCs w:val="18"/>
          <w:lang w:val="en-US"/>
        </w:rPr>
        <w:t>Harb</w:t>
      </w:r>
      <w:proofErr w:type="spellEnd"/>
      <w:r w:rsidRPr="00A013F2">
        <w:rPr>
          <w:rFonts w:ascii="Calibri" w:eastAsia="Calibri" w:hAnsi="Calibri" w:cs="Calibri"/>
          <w:color w:val="000000"/>
          <w:sz w:val="18"/>
          <w:szCs w:val="18"/>
          <w:lang w:val="en-US"/>
        </w:rPr>
        <w:t xml:space="preserve"> </w:t>
      </w:r>
      <w:proofErr w:type="spellStart"/>
      <w:r w:rsidRPr="00A013F2">
        <w:rPr>
          <w:rFonts w:ascii="Calibri" w:eastAsia="Calibri" w:hAnsi="Calibri" w:cs="Calibri"/>
          <w:color w:val="000000"/>
          <w:sz w:val="18"/>
          <w:szCs w:val="18"/>
          <w:lang w:val="en-US"/>
        </w:rPr>
        <w:t>Perspect</w:t>
      </w:r>
      <w:proofErr w:type="spellEnd"/>
      <w:r w:rsidRPr="00A013F2">
        <w:rPr>
          <w:rFonts w:ascii="Calibri" w:eastAsia="Calibri" w:hAnsi="Calibri" w:cs="Calibri"/>
          <w:color w:val="000000"/>
          <w:sz w:val="18"/>
          <w:szCs w:val="18"/>
          <w:lang w:val="en-US"/>
        </w:rPr>
        <w:t xml:space="preserve"> Med. 2018 Sep 4;8(9) </w:t>
      </w:r>
      <w:proofErr w:type="spellStart"/>
      <w:r w:rsidRPr="00A013F2">
        <w:rPr>
          <w:rFonts w:ascii="Calibri" w:eastAsia="Calibri" w:hAnsi="Calibri" w:cs="Calibri"/>
          <w:color w:val="000000"/>
          <w:sz w:val="18"/>
          <w:szCs w:val="18"/>
          <w:lang w:val="en-US"/>
        </w:rPr>
        <w:t>doi</w:t>
      </w:r>
      <w:proofErr w:type="spellEnd"/>
      <w:r w:rsidRPr="00A013F2">
        <w:rPr>
          <w:rFonts w:ascii="Calibri" w:eastAsia="Calibri" w:hAnsi="Calibri" w:cs="Calibri"/>
          <w:color w:val="000000"/>
          <w:sz w:val="18"/>
          <w:szCs w:val="18"/>
          <w:lang w:val="en-US"/>
        </w:rPr>
        <w:t>: 10.1101/</w:t>
      </w:r>
      <w:proofErr w:type="gramStart"/>
      <w:r w:rsidRPr="00A013F2">
        <w:rPr>
          <w:rFonts w:ascii="Calibri" w:eastAsia="Calibri" w:hAnsi="Calibri" w:cs="Calibri"/>
          <w:color w:val="000000"/>
          <w:sz w:val="18"/>
          <w:szCs w:val="18"/>
          <w:lang w:val="en-US"/>
        </w:rPr>
        <w:t>cshperspect.a</w:t>
      </w:r>
      <w:proofErr w:type="gramEnd"/>
      <w:r w:rsidRPr="00A013F2">
        <w:rPr>
          <w:rFonts w:ascii="Calibri" w:eastAsia="Calibri" w:hAnsi="Calibri" w:cs="Calibri"/>
          <w:color w:val="000000"/>
          <w:sz w:val="18"/>
          <w:szCs w:val="18"/>
          <w:lang w:val="en-US"/>
        </w:rPr>
        <w:t xml:space="preserve">031708. </w:t>
      </w:r>
      <w:r>
        <w:rPr>
          <w:rFonts w:ascii="Calibri" w:eastAsia="Calibri" w:hAnsi="Calibri" w:cs="Calibri"/>
          <w:color w:val="000000"/>
          <w:sz w:val="18"/>
          <w:szCs w:val="18"/>
        </w:rPr>
        <w:t>PMID: 29440324; PMCID: PMC6120688.</w:t>
      </w:r>
    </w:p>
    <w:p w14:paraId="3BC653A6" w14:textId="77777777" w:rsidR="0085147D" w:rsidRDefault="00000000">
      <w:pPr>
        <w:numPr>
          <w:ilvl w:val="0"/>
          <w:numId w:val="5"/>
        </w:numPr>
        <w:spacing w:line="276" w:lineRule="auto"/>
        <w:jc w:val="both"/>
        <w:rPr>
          <w:rFonts w:ascii="Calibri" w:eastAsia="Calibri" w:hAnsi="Calibri" w:cs="Calibri"/>
          <w:color w:val="000000"/>
          <w:sz w:val="18"/>
          <w:szCs w:val="18"/>
        </w:rPr>
      </w:pPr>
      <w:r>
        <w:rPr>
          <w:rFonts w:ascii="Calibri" w:eastAsia="Calibri" w:hAnsi="Calibri" w:cs="Calibri"/>
          <w:color w:val="000000"/>
          <w:sz w:val="18"/>
          <w:szCs w:val="18"/>
        </w:rPr>
        <w:t>Rojas-Peláez Y, et al. Actualización sobre hepatitis A. Archivos Médicos de Camagüey, 26, e8858. Recuperado de </w:t>
      </w:r>
      <w:hyperlink r:id="rId10">
        <w:r>
          <w:rPr>
            <w:rFonts w:ascii="Calibri" w:eastAsia="Calibri" w:hAnsi="Calibri" w:cs="Calibri"/>
            <w:color w:val="000000"/>
            <w:sz w:val="18"/>
            <w:szCs w:val="18"/>
            <w:u w:val="single"/>
          </w:rPr>
          <w:t>http://scielo.sld.cu/scielo.php?script=sci_arttext&amp;pid=S1025-02552022000100062</w:t>
        </w:r>
      </w:hyperlink>
      <w:r>
        <w:rPr>
          <w:rFonts w:ascii="Calibri" w:eastAsia="Calibri" w:hAnsi="Calibri" w:cs="Calibri"/>
          <w:color w:val="000000"/>
          <w:sz w:val="18"/>
          <w:szCs w:val="18"/>
        </w:rPr>
        <w:t>.</w:t>
      </w:r>
    </w:p>
    <w:p w14:paraId="4283CC64" w14:textId="77777777" w:rsidR="0085147D" w:rsidRPr="00A013F2" w:rsidRDefault="00000000">
      <w:pPr>
        <w:numPr>
          <w:ilvl w:val="0"/>
          <w:numId w:val="5"/>
        </w:numPr>
        <w:spacing w:line="276" w:lineRule="auto"/>
        <w:jc w:val="both"/>
        <w:rPr>
          <w:rFonts w:ascii="Calibri" w:eastAsia="Calibri" w:hAnsi="Calibri" w:cs="Calibri"/>
          <w:color w:val="000000"/>
          <w:sz w:val="18"/>
          <w:szCs w:val="18"/>
          <w:lang w:val="en-US"/>
        </w:rPr>
      </w:pPr>
      <w:proofErr w:type="spellStart"/>
      <w:r>
        <w:rPr>
          <w:rFonts w:ascii="Calibri" w:eastAsia="Calibri" w:hAnsi="Calibri" w:cs="Calibri"/>
          <w:color w:val="000000"/>
          <w:sz w:val="18"/>
          <w:szCs w:val="18"/>
          <w:highlight w:val="white"/>
        </w:rPr>
        <w:t>Gholizadeh</w:t>
      </w:r>
      <w:proofErr w:type="spellEnd"/>
      <w:r>
        <w:rPr>
          <w:rFonts w:ascii="Calibri" w:eastAsia="Calibri" w:hAnsi="Calibri" w:cs="Calibri"/>
          <w:color w:val="000000"/>
          <w:sz w:val="18"/>
          <w:szCs w:val="18"/>
          <w:highlight w:val="white"/>
        </w:rPr>
        <w:t xml:space="preserve"> O, </w:t>
      </w:r>
      <w:proofErr w:type="spellStart"/>
      <w:r>
        <w:rPr>
          <w:rFonts w:ascii="Calibri" w:eastAsia="Calibri" w:hAnsi="Calibri" w:cs="Calibri"/>
          <w:color w:val="000000"/>
          <w:sz w:val="18"/>
          <w:szCs w:val="18"/>
          <w:highlight w:val="white"/>
        </w:rPr>
        <w:t>Akbarzadeh</w:t>
      </w:r>
      <w:proofErr w:type="spellEnd"/>
      <w:r>
        <w:rPr>
          <w:rFonts w:ascii="Calibri" w:eastAsia="Calibri" w:hAnsi="Calibri" w:cs="Calibri"/>
          <w:color w:val="000000"/>
          <w:sz w:val="18"/>
          <w:szCs w:val="18"/>
          <w:highlight w:val="white"/>
        </w:rPr>
        <w:t xml:space="preserve"> S, </w:t>
      </w:r>
      <w:proofErr w:type="spellStart"/>
      <w:r>
        <w:rPr>
          <w:rFonts w:ascii="Calibri" w:eastAsia="Calibri" w:hAnsi="Calibri" w:cs="Calibri"/>
          <w:color w:val="000000"/>
          <w:sz w:val="18"/>
          <w:szCs w:val="18"/>
          <w:highlight w:val="white"/>
        </w:rPr>
        <w:t>Ghazanfari</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Hashemi</w:t>
      </w:r>
      <w:proofErr w:type="spellEnd"/>
      <w:r>
        <w:rPr>
          <w:rFonts w:ascii="Calibri" w:eastAsia="Calibri" w:hAnsi="Calibri" w:cs="Calibri"/>
          <w:color w:val="000000"/>
          <w:sz w:val="18"/>
          <w:szCs w:val="18"/>
          <w:highlight w:val="white"/>
        </w:rPr>
        <w:t xml:space="preserve"> M, </w:t>
      </w:r>
      <w:proofErr w:type="spellStart"/>
      <w:r>
        <w:rPr>
          <w:rFonts w:ascii="Calibri" w:eastAsia="Calibri" w:hAnsi="Calibri" w:cs="Calibri"/>
          <w:color w:val="000000"/>
          <w:sz w:val="18"/>
          <w:szCs w:val="18"/>
          <w:highlight w:val="white"/>
        </w:rPr>
        <w:t>Gholami</w:t>
      </w:r>
      <w:proofErr w:type="spellEnd"/>
      <w:r>
        <w:rPr>
          <w:rFonts w:ascii="Calibri" w:eastAsia="Calibri" w:hAnsi="Calibri" w:cs="Calibri"/>
          <w:color w:val="000000"/>
          <w:sz w:val="18"/>
          <w:szCs w:val="18"/>
          <w:highlight w:val="white"/>
        </w:rPr>
        <w:t xml:space="preserve"> M, </w:t>
      </w:r>
      <w:proofErr w:type="spellStart"/>
      <w:r>
        <w:rPr>
          <w:rFonts w:ascii="Calibri" w:eastAsia="Calibri" w:hAnsi="Calibri" w:cs="Calibri"/>
          <w:color w:val="000000"/>
          <w:sz w:val="18"/>
          <w:szCs w:val="18"/>
          <w:highlight w:val="white"/>
        </w:rPr>
        <w:t>Amini</w:t>
      </w:r>
      <w:proofErr w:type="spellEnd"/>
      <w:r>
        <w:rPr>
          <w:rFonts w:ascii="Calibri" w:eastAsia="Calibri" w:hAnsi="Calibri" w:cs="Calibri"/>
          <w:color w:val="000000"/>
          <w:sz w:val="18"/>
          <w:szCs w:val="18"/>
          <w:highlight w:val="white"/>
        </w:rPr>
        <w:t xml:space="preserve"> P, </w:t>
      </w:r>
      <w:proofErr w:type="spellStart"/>
      <w:r>
        <w:rPr>
          <w:rFonts w:ascii="Calibri" w:eastAsia="Calibri" w:hAnsi="Calibri" w:cs="Calibri"/>
          <w:color w:val="000000"/>
          <w:sz w:val="18"/>
          <w:szCs w:val="18"/>
          <w:highlight w:val="white"/>
        </w:rPr>
        <w:t>Yekanipour</w:t>
      </w:r>
      <w:proofErr w:type="spellEnd"/>
      <w:r>
        <w:rPr>
          <w:rFonts w:ascii="Calibri" w:eastAsia="Calibri" w:hAnsi="Calibri" w:cs="Calibri"/>
          <w:color w:val="000000"/>
          <w:sz w:val="18"/>
          <w:szCs w:val="18"/>
          <w:highlight w:val="white"/>
        </w:rPr>
        <w:t xml:space="preserve"> Z, </w:t>
      </w:r>
      <w:proofErr w:type="spellStart"/>
      <w:r>
        <w:rPr>
          <w:rFonts w:ascii="Calibri" w:eastAsia="Calibri" w:hAnsi="Calibri" w:cs="Calibri"/>
          <w:color w:val="000000"/>
          <w:sz w:val="18"/>
          <w:szCs w:val="18"/>
          <w:highlight w:val="white"/>
        </w:rPr>
        <w:t>Tabatabaie</w:t>
      </w:r>
      <w:proofErr w:type="spellEnd"/>
      <w:r>
        <w:rPr>
          <w:rFonts w:ascii="Calibri" w:eastAsia="Calibri" w:hAnsi="Calibri" w:cs="Calibri"/>
          <w:color w:val="000000"/>
          <w:sz w:val="18"/>
          <w:szCs w:val="18"/>
          <w:highlight w:val="white"/>
        </w:rPr>
        <w:t xml:space="preserve"> R, </w:t>
      </w:r>
      <w:proofErr w:type="spellStart"/>
      <w:r>
        <w:rPr>
          <w:rFonts w:ascii="Calibri" w:eastAsia="Calibri" w:hAnsi="Calibri" w:cs="Calibri"/>
          <w:color w:val="000000"/>
          <w:sz w:val="18"/>
          <w:szCs w:val="18"/>
          <w:highlight w:val="white"/>
        </w:rPr>
        <w:t>Yasamineh</w:t>
      </w:r>
      <w:proofErr w:type="spellEnd"/>
      <w:r>
        <w:rPr>
          <w:rFonts w:ascii="Calibri" w:eastAsia="Calibri" w:hAnsi="Calibri" w:cs="Calibri"/>
          <w:color w:val="000000"/>
          <w:sz w:val="18"/>
          <w:szCs w:val="18"/>
          <w:highlight w:val="white"/>
        </w:rPr>
        <w:t xml:space="preserve"> S, Hosseini P, </w:t>
      </w:r>
      <w:proofErr w:type="spellStart"/>
      <w:r>
        <w:rPr>
          <w:rFonts w:ascii="Calibri" w:eastAsia="Calibri" w:hAnsi="Calibri" w:cs="Calibri"/>
          <w:color w:val="000000"/>
          <w:sz w:val="18"/>
          <w:szCs w:val="18"/>
          <w:highlight w:val="white"/>
        </w:rPr>
        <w:t>Poortahmasebi</w:t>
      </w:r>
      <w:proofErr w:type="spellEnd"/>
      <w:r>
        <w:rPr>
          <w:rFonts w:ascii="Calibri" w:eastAsia="Calibri" w:hAnsi="Calibri" w:cs="Calibri"/>
          <w:color w:val="000000"/>
          <w:sz w:val="18"/>
          <w:szCs w:val="18"/>
          <w:highlight w:val="white"/>
        </w:rPr>
        <w:t xml:space="preserve"> V. Hepatitis A: Viral </w:t>
      </w:r>
      <w:proofErr w:type="spellStart"/>
      <w:r>
        <w:rPr>
          <w:rFonts w:ascii="Calibri" w:eastAsia="Calibri" w:hAnsi="Calibri" w:cs="Calibri"/>
          <w:color w:val="000000"/>
          <w:sz w:val="18"/>
          <w:szCs w:val="18"/>
          <w:highlight w:val="white"/>
        </w:rPr>
        <w:t>Structure</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Classification</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Life</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Cycle</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Clinical</w:t>
      </w:r>
      <w:proofErr w:type="spellEnd"/>
      <w:r>
        <w:rPr>
          <w:rFonts w:ascii="Calibri" w:eastAsia="Calibri" w:hAnsi="Calibri" w:cs="Calibri"/>
          <w:color w:val="000000"/>
          <w:sz w:val="18"/>
          <w:szCs w:val="18"/>
          <w:highlight w:val="white"/>
        </w:rPr>
        <w:t xml:space="preserve"> </w:t>
      </w:r>
      <w:proofErr w:type="spellStart"/>
      <w:r>
        <w:rPr>
          <w:rFonts w:ascii="Calibri" w:eastAsia="Calibri" w:hAnsi="Calibri" w:cs="Calibri"/>
          <w:color w:val="000000"/>
          <w:sz w:val="18"/>
          <w:szCs w:val="18"/>
          <w:highlight w:val="white"/>
        </w:rPr>
        <w:t>Symptoms</w:t>
      </w:r>
      <w:proofErr w:type="spellEnd"/>
      <w:r>
        <w:rPr>
          <w:rFonts w:ascii="Calibri" w:eastAsia="Calibri" w:hAnsi="Calibri" w:cs="Calibri"/>
          <w:color w:val="000000"/>
          <w:sz w:val="18"/>
          <w:szCs w:val="18"/>
          <w:highlight w:val="white"/>
        </w:rPr>
        <w:t xml:space="preserve">, Diagnosis Error, and </w:t>
      </w:r>
      <w:proofErr w:type="spellStart"/>
      <w:r>
        <w:rPr>
          <w:rFonts w:ascii="Calibri" w:eastAsia="Calibri" w:hAnsi="Calibri" w:cs="Calibri"/>
          <w:color w:val="000000"/>
          <w:sz w:val="18"/>
          <w:szCs w:val="18"/>
          <w:highlight w:val="white"/>
        </w:rPr>
        <w:t>Vaccination</w:t>
      </w:r>
      <w:proofErr w:type="spellEnd"/>
      <w:r>
        <w:rPr>
          <w:rFonts w:ascii="Calibri" w:eastAsia="Calibri" w:hAnsi="Calibri" w:cs="Calibri"/>
          <w:color w:val="000000"/>
          <w:sz w:val="18"/>
          <w:szCs w:val="18"/>
          <w:highlight w:val="white"/>
        </w:rPr>
        <w:t xml:space="preserve">. </w:t>
      </w:r>
      <w:r w:rsidRPr="00A013F2">
        <w:rPr>
          <w:rFonts w:ascii="Calibri" w:eastAsia="Calibri" w:hAnsi="Calibri" w:cs="Calibri"/>
          <w:color w:val="000000"/>
          <w:sz w:val="18"/>
          <w:szCs w:val="18"/>
          <w:highlight w:val="white"/>
          <w:lang w:val="en-US"/>
        </w:rPr>
        <w:t xml:space="preserve">Can J Infect Dis Med </w:t>
      </w:r>
      <w:proofErr w:type="spellStart"/>
      <w:r w:rsidRPr="00A013F2">
        <w:rPr>
          <w:rFonts w:ascii="Calibri" w:eastAsia="Calibri" w:hAnsi="Calibri" w:cs="Calibri"/>
          <w:color w:val="000000"/>
          <w:sz w:val="18"/>
          <w:szCs w:val="18"/>
          <w:highlight w:val="white"/>
          <w:lang w:val="en-US"/>
        </w:rPr>
        <w:t>Microbiol</w:t>
      </w:r>
      <w:proofErr w:type="spellEnd"/>
      <w:r w:rsidRPr="00A013F2">
        <w:rPr>
          <w:rFonts w:ascii="Calibri" w:eastAsia="Calibri" w:hAnsi="Calibri" w:cs="Calibri"/>
          <w:color w:val="000000"/>
          <w:sz w:val="18"/>
          <w:szCs w:val="18"/>
          <w:highlight w:val="white"/>
          <w:lang w:val="en-US"/>
        </w:rPr>
        <w:t xml:space="preserve">. 2023 Jan </w:t>
      </w:r>
      <w:proofErr w:type="gramStart"/>
      <w:r w:rsidRPr="00A013F2">
        <w:rPr>
          <w:rFonts w:ascii="Calibri" w:eastAsia="Calibri" w:hAnsi="Calibri" w:cs="Calibri"/>
          <w:color w:val="000000"/>
          <w:sz w:val="18"/>
          <w:szCs w:val="18"/>
          <w:highlight w:val="white"/>
          <w:lang w:val="en-US"/>
        </w:rPr>
        <w:t>4;2023:4263309</w:t>
      </w:r>
      <w:proofErr w:type="gramEnd"/>
      <w:r w:rsidRPr="00A013F2">
        <w:rPr>
          <w:rFonts w:ascii="Calibri" w:eastAsia="Calibri" w:hAnsi="Calibri" w:cs="Calibri"/>
          <w:color w:val="000000"/>
          <w:sz w:val="18"/>
          <w:szCs w:val="18"/>
          <w:highlight w:val="white"/>
          <w:lang w:val="en-US"/>
        </w:rPr>
        <w:t xml:space="preserve">. </w:t>
      </w:r>
      <w:proofErr w:type="spellStart"/>
      <w:r w:rsidRPr="00A013F2">
        <w:rPr>
          <w:rFonts w:ascii="Calibri" w:eastAsia="Calibri" w:hAnsi="Calibri" w:cs="Calibri"/>
          <w:color w:val="000000"/>
          <w:sz w:val="18"/>
          <w:szCs w:val="18"/>
          <w:highlight w:val="white"/>
          <w:lang w:val="en-US"/>
        </w:rPr>
        <w:t>doi</w:t>
      </w:r>
      <w:proofErr w:type="spellEnd"/>
      <w:r w:rsidRPr="00A013F2">
        <w:rPr>
          <w:rFonts w:ascii="Calibri" w:eastAsia="Calibri" w:hAnsi="Calibri" w:cs="Calibri"/>
          <w:color w:val="000000"/>
          <w:sz w:val="18"/>
          <w:szCs w:val="18"/>
          <w:highlight w:val="white"/>
          <w:lang w:val="en-US"/>
        </w:rPr>
        <w:t>: 10.1155/2023/4263309. PMID: 36644336; PMCID: PMC9833905.</w:t>
      </w:r>
    </w:p>
    <w:p w14:paraId="28868892" w14:textId="77777777" w:rsidR="00A013F2" w:rsidRDefault="00A013F2" w:rsidP="00A013F2">
      <w:pPr>
        <w:numPr>
          <w:ilvl w:val="0"/>
          <w:numId w:val="5"/>
        </w:numPr>
        <w:spacing w:line="276" w:lineRule="auto"/>
        <w:jc w:val="both"/>
        <w:rPr>
          <w:rFonts w:ascii="Calibri" w:eastAsia="Calibri" w:hAnsi="Calibri" w:cs="Calibri"/>
          <w:sz w:val="18"/>
          <w:szCs w:val="18"/>
          <w:highlight w:val="white"/>
        </w:rPr>
      </w:pPr>
      <w:r>
        <w:rPr>
          <w:rFonts w:ascii="Calibri" w:eastAsia="Calibri" w:hAnsi="Calibri" w:cs="Calibri"/>
          <w:sz w:val="18"/>
          <w:szCs w:val="18"/>
          <w:highlight w:val="white"/>
        </w:rPr>
        <w:t>Cárdenas, Angie Milena, Ortiz Rivera, Claudia Jimena, &amp; Correa, Roberto Andrés. (2020). Falla hepática aguda en pediatría. Revista chilena de pediatría, 91(3), 457-465. https://dx.doi.org/10.32641/rchped.v91i3.1284</w:t>
      </w:r>
    </w:p>
    <w:p w14:paraId="5544DDEF" w14:textId="77777777" w:rsidR="0085147D" w:rsidRDefault="00000000">
      <w:pPr>
        <w:numPr>
          <w:ilvl w:val="0"/>
          <w:numId w:val="5"/>
        </w:numPr>
        <w:spacing w:line="276" w:lineRule="auto"/>
        <w:jc w:val="both"/>
        <w:rPr>
          <w:rFonts w:ascii="Calibri" w:eastAsia="Calibri" w:hAnsi="Calibri" w:cs="Calibri"/>
          <w:color w:val="000000"/>
          <w:sz w:val="18"/>
          <w:szCs w:val="18"/>
        </w:rPr>
      </w:pPr>
      <w:r w:rsidRPr="00A013F2">
        <w:rPr>
          <w:rFonts w:ascii="Calibri" w:eastAsia="Calibri" w:hAnsi="Calibri" w:cs="Calibri"/>
          <w:color w:val="000000"/>
          <w:sz w:val="18"/>
          <w:szCs w:val="18"/>
          <w:highlight w:val="white"/>
          <w:lang w:val="en-US"/>
        </w:rPr>
        <w:t xml:space="preserve">Shin EC, </w:t>
      </w:r>
      <w:proofErr w:type="spellStart"/>
      <w:r w:rsidRPr="00A013F2">
        <w:rPr>
          <w:rFonts w:ascii="Calibri" w:eastAsia="Calibri" w:hAnsi="Calibri" w:cs="Calibri"/>
          <w:color w:val="000000"/>
          <w:sz w:val="18"/>
          <w:szCs w:val="18"/>
          <w:highlight w:val="white"/>
          <w:lang w:val="en-US"/>
        </w:rPr>
        <w:t>Jeong</w:t>
      </w:r>
      <w:proofErr w:type="spellEnd"/>
      <w:r w:rsidRPr="00A013F2">
        <w:rPr>
          <w:rFonts w:ascii="Calibri" w:eastAsia="Calibri" w:hAnsi="Calibri" w:cs="Calibri"/>
          <w:color w:val="000000"/>
          <w:sz w:val="18"/>
          <w:szCs w:val="18"/>
          <w:highlight w:val="white"/>
          <w:lang w:val="en-US"/>
        </w:rPr>
        <w:t xml:space="preserve"> SH. Natural History, Clinical Manifestations, and Pathogenesis of Hepatitis A. Cold Spring </w:t>
      </w:r>
      <w:proofErr w:type="spellStart"/>
      <w:r w:rsidRPr="00A013F2">
        <w:rPr>
          <w:rFonts w:ascii="Calibri" w:eastAsia="Calibri" w:hAnsi="Calibri" w:cs="Calibri"/>
          <w:color w:val="000000"/>
          <w:sz w:val="18"/>
          <w:szCs w:val="18"/>
          <w:highlight w:val="white"/>
          <w:lang w:val="en-US"/>
        </w:rPr>
        <w:t>Harb</w:t>
      </w:r>
      <w:proofErr w:type="spellEnd"/>
      <w:r w:rsidRPr="00A013F2">
        <w:rPr>
          <w:rFonts w:ascii="Calibri" w:eastAsia="Calibri" w:hAnsi="Calibri" w:cs="Calibri"/>
          <w:color w:val="000000"/>
          <w:sz w:val="18"/>
          <w:szCs w:val="18"/>
          <w:highlight w:val="white"/>
          <w:lang w:val="en-US"/>
        </w:rPr>
        <w:t xml:space="preserve"> </w:t>
      </w:r>
      <w:proofErr w:type="spellStart"/>
      <w:r w:rsidRPr="00A013F2">
        <w:rPr>
          <w:rFonts w:ascii="Calibri" w:eastAsia="Calibri" w:hAnsi="Calibri" w:cs="Calibri"/>
          <w:color w:val="000000"/>
          <w:sz w:val="18"/>
          <w:szCs w:val="18"/>
          <w:highlight w:val="white"/>
          <w:lang w:val="en-US"/>
        </w:rPr>
        <w:t>Perspect</w:t>
      </w:r>
      <w:proofErr w:type="spellEnd"/>
      <w:r w:rsidRPr="00A013F2">
        <w:rPr>
          <w:rFonts w:ascii="Calibri" w:eastAsia="Calibri" w:hAnsi="Calibri" w:cs="Calibri"/>
          <w:color w:val="000000"/>
          <w:sz w:val="18"/>
          <w:szCs w:val="18"/>
          <w:highlight w:val="white"/>
          <w:lang w:val="en-US"/>
        </w:rPr>
        <w:t xml:space="preserve"> Med. 2018 Sep 4;8(9</w:t>
      </w:r>
      <w:proofErr w:type="gramStart"/>
      <w:r w:rsidRPr="00A013F2">
        <w:rPr>
          <w:rFonts w:ascii="Calibri" w:eastAsia="Calibri" w:hAnsi="Calibri" w:cs="Calibri"/>
          <w:color w:val="000000"/>
          <w:sz w:val="18"/>
          <w:szCs w:val="18"/>
          <w:highlight w:val="white"/>
          <w:lang w:val="en-US"/>
        </w:rPr>
        <w:t>):a</w:t>
      </w:r>
      <w:proofErr w:type="gramEnd"/>
      <w:r w:rsidRPr="00A013F2">
        <w:rPr>
          <w:rFonts w:ascii="Calibri" w:eastAsia="Calibri" w:hAnsi="Calibri" w:cs="Calibri"/>
          <w:color w:val="000000"/>
          <w:sz w:val="18"/>
          <w:szCs w:val="18"/>
          <w:highlight w:val="white"/>
          <w:lang w:val="en-US"/>
        </w:rPr>
        <w:t xml:space="preserve">031708. </w:t>
      </w:r>
      <w:proofErr w:type="spellStart"/>
      <w:r w:rsidRPr="00A013F2">
        <w:rPr>
          <w:rFonts w:ascii="Calibri" w:eastAsia="Calibri" w:hAnsi="Calibri" w:cs="Calibri"/>
          <w:color w:val="000000"/>
          <w:sz w:val="18"/>
          <w:szCs w:val="18"/>
          <w:highlight w:val="white"/>
          <w:lang w:val="en-US"/>
        </w:rPr>
        <w:t>doi</w:t>
      </w:r>
      <w:proofErr w:type="spellEnd"/>
      <w:r w:rsidRPr="00A013F2">
        <w:rPr>
          <w:rFonts w:ascii="Calibri" w:eastAsia="Calibri" w:hAnsi="Calibri" w:cs="Calibri"/>
          <w:color w:val="000000"/>
          <w:sz w:val="18"/>
          <w:szCs w:val="18"/>
          <w:highlight w:val="white"/>
          <w:lang w:val="en-US"/>
        </w:rPr>
        <w:t>: 10.1101/</w:t>
      </w:r>
      <w:proofErr w:type="gramStart"/>
      <w:r w:rsidRPr="00A013F2">
        <w:rPr>
          <w:rFonts w:ascii="Calibri" w:eastAsia="Calibri" w:hAnsi="Calibri" w:cs="Calibri"/>
          <w:color w:val="000000"/>
          <w:sz w:val="18"/>
          <w:szCs w:val="18"/>
          <w:highlight w:val="white"/>
          <w:lang w:val="en-US"/>
        </w:rPr>
        <w:t>cshperspect.a</w:t>
      </w:r>
      <w:proofErr w:type="gramEnd"/>
      <w:r w:rsidRPr="00A013F2">
        <w:rPr>
          <w:rFonts w:ascii="Calibri" w:eastAsia="Calibri" w:hAnsi="Calibri" w:cs="Calibri"/>
          <w:color w:val="000000"/>
          <w:sz w:val="18"/>
          <w:szCs w:val="18"/>
          <w:highlight w:val="white"/>
          <w:lang w:val="en-US"/>
        </w:rPr>
        <w:t xml:space="preserve">031708. </w:t>
      </w:r>
      <w:r>
        <w:rPr>
          <w:rFonts w:ascii="Calibri" w:eastAsia="Calibri" w:hAnsi="Calibri" w:cs="Calibri"/>
          <w:color w:val="000000"/>
          <w:sz w:val="18"/>
          <w:szCs w:val="18"/>
          <w:highlight w:val="white"/>
        </w:rPr>
        <w:t>PMID: 29440324; PMCID: PMC6120688.</w:t>
      </w:r>
    </w:p>
    <w:p w14:paraId="6691C128" w14:textId="77777777" w:rsidR="0085147D" w:rsidRDefault="00000000">
      <w:pPr>
        <w:numPr>
          <w:ilvl w:val="0"/>
          <w:numId w:val="5"/>
        </w:numPr>
        <w:spacing w:line="276" w:lineRule="auto"/>
        <w:jc w:val="both"/>
        <w:rPr>
          <w:rFonts w:ascii="Calibri" w:eastAsia="Calibri" w:hAnsi="Calibri" w:cs="Calibri"/>
          <w:color w:val="000000"/>
          <w:sz w:val="18"/>
          <w:szCs w:val="18"/>
        </w:rPr>
      </w:pPr>
      <w:proofErr w:type="spellStart"/>
      <w:r w:rsidRPr="00A013F2">
        <w:rPr>
          <w:rFonts w:ascii="Calibri" w:eastAsia="Calibri" w:hAnsi="Calibri" w:cs="Calibri"/>
          <w:color w:val="000000"/>
          <w:sz w:val="18"/>
          <w:szCs w:val="18"/>
          <w:lang w:val="en-US"/>
        </w:rPr>
        <w:lastRenderedPageBreak/>
        <w:t>Andani</w:t>
      </w:r>
      <w:proofErr w:type="spellEnd"/>
      <w:r w:rsidRPr="00A013F2">
        <w:rPr>
          <w:rFonts w:ascii="Calibri" w:eastAsia="Calibri" w:hAnsi="Calibri" w:cs="Calibri"/>
          <w:color w:val="000000"/>
          <w:sz w:val="18"/>
          <w:szCs w:val="18"/>
          <w:lang w:val="en-US"/>
        </w:rPr>
        <w:t xml:space="preserve"> A, et al. One or two doses of hepatitis A vaccine in universal vaccination programs in children in 2020: A systematic review. </w:t>
      </w:r>
      <w:proofErr w:type="spellStart"/>
      <w:r>
        <w:rPr>
          <w:rFonts w:ascii="Calibri" w:eastAsia="Calibri" w:hAnsi="Calibri" w:cs="Calibri"/>
          <w:color w:val="000000"/>
          <w:sz w:val="18"/>
          <w:szCs w:val="18"/>
        </w:rPr>
        <w:t>Vaccine</w:t>
      </w:r>
      <w:proofErr w:type="spellEnd"/>
      <w:r>
        <w:rPr>
          <w:rFonts w:ascii="Calibri" w:eastAsia="Calibri" w:hAnsi="Calibri" w:cs="Calibri"/>
          <w:color w:val="000000"/>
          <w:sz w:val="18"/>
          <w:szCs w:val="18"/>
        </w:rPr>
        <w:t xml:space="preserve">. 2022 Jan 21;40(2):196-205. </w:t>
      </w:r>
      <w:proofErr w:type="spellStart"/>
      <w:r>
        <w:rPr>
          <w:rFonts w:ascii="Calibri" w:eastAsia="Calibri" w:hAnsi="Calibri" w:cs="Calibri"/>
          <w:color w:val="000000"/>
          <w:sz w:val="18"/>
          <w:szCs w:val="18"/>
        </w:rPr>
        <w:t>doi</w:t>
      </w:r>
      <w:proofErr w:type="spellEnd"/>
      <w:r>
        <w:rPr>
          <w:rFonts w:ascii="Calibri" w:eastAsia="Calibri" w:hAnsi="Calibri" w:cs="Calibri"/>
          <w:color w:val="000000"/>
          <w:sz w:val="18"/>
          <w:szCs w:val="18"/>
        </w:rPr>
        <w:t xml:space="preserve">: 10.1016/j.vaccine.2021.01.038. </w:t>
      </w:r>
      <w:proofErr w:type="spellStart"/>
      <w:r>
        <w:rPr>
          <w:rFonts w:ascii="Calibri" w:eastAsia="Calibri" w:hAnsi="Calibri" w:cs="Calibri"/>
          <w:color w:val="000000"/>
          <w:sz w:val="18"/>
          <w:szCs w:val="18"/>
        </w:rPr>
        <w:t>Epub</w:t>
      </w:r>
      <w:proofErr w:type="spellEnd"/>
      <w:r>
        <w:rPr>
          <w:rFonts w:ascii="Calibri" w:eastAsia="Calibri" w:hAnsi="Calibri" w:cs="Calibri"/>
          <w:color w:val="000000"/>
          <w:sz w:val="18"/>
          <w:szCs w:val="18"/>
        </w:rPr>
        <w:t xml:space="preserve"> 2021 Jan 30. PMID: 33526283.</w:t>
      </w:r>
    </w:p>
    <w:p w14:paraId="00ABF7B2" w14:textId="77777777" w:rsidR="0085147D" w:rsidRDefault="0085147D">
      <w:pPr>
        <w:jc w:val="both"/>
        <w:rPr>
          <w:rFonts w:ascii="Calibri" w:eastAsia="Calibri" w:hAnsi="Calibri" w:cs="Calibri"/>
          <w:b/>
          <w:color w:val="000000"/>
          <w:sz w:val="20"/>
          <w:szCs w:val="20"/>
        </w:rPr>
      </w:pPr>
    </w:p>
    <w:p w14:paraId="604A2B2C" w14:textId="77777777" w:rsidR="0085147D" w:rsidRDefault="0085147D">
      <w:pPr>
        <w:rPr>
          <w:rFonts w:ascii="Calibri" w:eastAsia="Calibri" w:hAnsi="Calibri" w:cs="Calibri"/>
          <w:color w:val="000000"/>
          <w:sz w:val="22"/>
          <w:szCs w:val="22"/>
        </w:rPr>
      </w:pPr>
    </w:p>
    <w:p w14:paraId="18672A14" w14:textId="77777777" w:rsidR="0085147D" w:rsidRDefault="0085147D">
      <w:pPr>
        <w:rPr>
          <w:rFonts w:ascii="Calibri" w:eastAsia="Calibri" w:hAnsi="Calibri" w:cs="Calibri"/>
          <w:color w:val="000000"/>
          <w:sz w:val="22"/>
          <w:szCs w:val="22"/>
        </w:rPr>
      </w:pPr>
    </w:p>
    <w:p w14:paraId="48C60035" w14:textId="77777777" w:rsidR="0085147D" w:rsidRDefault="0085147D">
      <w:pPr>
        <w:jc w:val="both"/>
        <w:rPr>
          <w:rFonts w:ascii="Calibri" w:eastAsia="Calibri" w:hAnsi="Calibri" w:cs="Calibri"/>
          <w:color w:val="000000"/>
          <w:sz w:val="20"/>
          <w:szCs w:val="20"/>
        </w:rPr>
      </w:pPr>
    </w:p>
    <w:p w14:paraId="6F02BAE8" w14:textId="77777777" w:rsidR="0085147D" w:rsidRDefault="0085147D">
      <w:pPr>
        <w:rPr>
          <w:rFonts w:ascii="Calibri" w:eastAsia="Calibri" w:hAnsi="Calibri" w:cs="Calibri"/>
          <w:color w:val="000000"/>
          <w:sz w:val="22"/>
          <w:szCs w:val="22"/>
        </w:rPr>
      </w:pPr>
    </w:p>
    <w:p w14:paraId="56C94553" w14:textId="77777777" w:rsidR="0085147D" w:rsidRDefault="0085147D">
      <w:pPr>
        <w:rPr>
          <w:rFonts w:ascii="Calibri" w:eastAsia="Calibri" w:hAnsi="Calibri" w:cs="Calibri"/>
          <w:color w:val="000000"/>
          <w:sz w:val="22"/>
          <w:szCs w:val="22"/>
        </w:rPr>
      </w:pPr>
    </w:p>
    <w:sectPr w:rsidR="0085147D">
      <w:head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6940" w14:textId="77777777" w:rsidR="002258E2" w:rsidRDefault="002258E2">
      <w:r>
        <w:separator/>
      </w:r>
    </w:p>
  </w:endnote>
  <w:endnote w:type="continuationSeparator" w:id="0">
    <w:p w14:paraId="6B916E1C" w14:textId="77777777" w:rsidR="002258E2" w:rsidRDefault="002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Noto Sans Symbols">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C643F" w14:textId="77777777" w:rsidR="002258E2" w:rsidRDefault="002258E2">
      <w:r>
        <w:separator/>
      </w:r>
    </w:p>
  </w:footnote>
  <w:footnote w:type="continuationSeparator" w:id="0">
    <w:p w14:paraId="102F6918" w14:textId="77777777" w:rsidR="002258E2" w:rsidRDefault="002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4E4D" w14:textId="77777777" w:rsidR="0085147D" w:rsidRDefault="0085147D">
    <w:pPr>
      <w:widowControl w:val="0"/>
      <w:pBdr>
        <w:top w:val="nil"/>
        <w:left w:val="nil"/>
        <w:bottom w:val="nil"/>
        <w:right w:val="nil"/>
        <w:between w:val="nil"/>
      </w:pBdr>
      <w:spacing w:line="276" w:lineRule="auto"/>
      <w:rPr>
        <w:rFonts w:ascii="Calibri" w:eastAsia="Calibri" w:hAnsi="Calibri" w:cs="Calibri"/>
        <w:color w:val="000000"/>
        <w:sz w:val="22"/>
        <w:szCs w:val="22"/>
      </w:rPr>
    </w:pPr>
  </w:p>
  <w:tbl>
    <w:tblPr>
      <w:tblStyle w:val="a"/>
      <w:tblW w:w="883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45"/>
      <w:gridCol w:w="2945"/>
      <w:gridCol w:w="2945"/>
    </w:tblGrid>
    <w:tr w:rsidR="0085147D" w14:paraId="2C90A18D" w14:textId="77777777">
      <w:trPr>
        <w:trHeight w:val="300"/>
      </w:trPr>
      <w:tc>
        <w:tcPr>
          <w:tcW w:w="2945" w:type="dxa"/>
        </w:tcPr>
        <w:p w14:paraId="609DC187" w14:textId="77777777" w:rsidR="0085147D" w:rsidRDefault="0085147D">
          <w:pPr>
            <w:pBdr>
              <w:top w:val="nil"/>
              <w:left w:val="nil"/>
              <w:bottom w:val="nil"/>
              <w:right w:val="nil"/>
              <w:between w:val="nil"/>
            </w:pBdr>
            <w:tabs>
              <w:tab w:val="center" w:pos="4680"/>
              <w:tab w:val="right" w:pos="9360"/>
            </w:tabs>
            <w:ind w:left="-115"/>
            <w:rPr>
              <w:color w:val="000000"/>
            </w:rPr>
          </w:pPr>
        </w:p>
      </w:tc>
      <w:tc>
        <w:tcPr>
          <w:tcW w:w="2945" w:type="dxa"/>
        </w:tcPr>
        <w:p w14:paraId="1F1644EB" w14:textId="77777777" w:rsidR="0085147D" w:rsidRDefault="0085147D">
          <w:pPr>
            <w:pBdr>
              <w:top w:val="nil"/>
              <w:left w:val="nil"/>
              <w:bottom w:val="nil"/>
              <w:right w:val="nil"/>
              <w:between w:val="nil"/>
            </w:pBdr>
            <w:tabs>
              <w:tab w:val="center" w:pos="4680"/>
              <w:tab w:val="right" w:pos="9360"/>
            </w:tabs>
            <w:jc w:val="center"/>
            <w:rPr>
              <w:color w:val="000000"/>
            </w:rPr>
          </w:pPr>
        </w:p>
      </w:tc>
      <w:tc>
        <w:tcPr>
          <w:tcW w:w="2945" w:type="dxa"/>
        </w:tcPr>
        <w:p w14:paraId="345E9BED" w14:textId="77777777" w:rsidR="0085147D" w:rsidRDefault="0085147D">
          <w:pPr>
            <w:pBdr>
              <w:top w:val="nil"/>
              <w:left w:val="nil"/>
              <w:bottom w:val="nil"/>
              <w:right w:val="nil"/>
              <w:between w:val="nil"/>
            </w:pBdr>
            <w:tabs>
              <w:tab w:val="center" w:pos="4680"/>
              <w:tab w:val="right" w:pos="9360"/>
            </w:tabs>
            <w:ind w:right="-115"/>
            <w:jc w:val="right"/>
            <w:rPr>
              <w:color w:val="000000"/>
            </w:rPr>
          </w:pPr>
        </w:p>
      </w:tc>
    </w:tr>
  </w:tbl>
  <w:p w14:paraId="43925884" w14:textId="77777777" w:rsidR="0085147D" w:rsidRDefault="0085147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8F8"/>
    <w:multiLevelType w:val="multilevel"/>
    <w:tmpl w:val="4BA69A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A7752E7"/>
    <w:multiLevelType w:val="hybridMultilevel"/>
    <w:tmpl w:val="8208FB00"/>
    <w:lvl w:ilvl="0" w:tplc="23DE6F2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5B3492D"/>
    <w:multiLevelType w:val="multilevel"/>
    <w:tmpl w:val="31504C44"/>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49144C"/>
    <w:multiLevelType w:val="multilevel"/>
    <w:tmpl w:val="A31609B2"/>
    <w:lvl w:ilvl="0">
      <w:start w:val="1"/>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A9F6EED"/>
    <w:multiLevelType w:val="multilevel"/>
    <w:tmpl w:val="6F96288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6393ADC"/>
    <w:multiLevelType w:val="multilevel"/>
    <w:tmpl w:val="AFBC6C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549612964">
    <w:abstractNumId w:val="2"/>
  </w:num>
  <w:num w:numId="2" w16cid:durableId="452599103">
    <w:abstractNumId w:val="3"/>
  </w:num>
  <w:num w:numId="3" w16cid:durableId="1402366224">
    <w:abstractNumId w:val="0"/>
  </w:num>
  <w:num w:numId="4" w16cid:durableId="1212768184">
    <w:abstractNumId w:val="5"/>
  </w:num>
  <w:num w:numId="5" w16cid:durableId="1083572342">
    <w:abstractNumId w:val="4"/>
  </w:num>
  <w:num w:numId="6" w16cid:durableId="25100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47D"/>
    <w:rsid w:val="002258E2"/>
    <w:rsid w:val="0085147D"/>
    <w:rsid w:val="00A013F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5CB49569"/>
  <w15:docId w15:val="{32C99348-CFFF-7A48-A548-ADE153DE2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s-C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4C4196"/>
    <w:rPr>
      <w:color w:val="0000FF" w:themeColor="hyperlink"/>
      <w:u w:val="single"/>
    </w:rPr>
  </w:style>
  <w:style w:type="character" w:styleId="Mencinsinresolver">
    <w:name w:val="Unresolved Mention"/>
    <w:basedOn w:val="Fuentedeprrafopredeter"/>
    <w:uiPriority w:val="99"/>
    <w:semiHidden/>
    <w:unhideWhenUsed/>
    <w:rsid w:val="004C4196"/>
    <w:rPr>
      <w:color w:val="605E5C"/>
      <w:shd w:val="clear" w:color="auto" w:fill="E1DFDD"/>
    </w:rPr>
  </w:style>
  <w:style w:type="paragraph" w:styleId="NormalWeb">
    <w:name w:val="Normal (Web)"/>
    <w:basedOn w:val="Normal"/>
    <w:uiPriority w:val="99"/>
    <w:semiHidden/>
    <w:unhideWhenUsed/>
    <w:rsid w:val="00C33066"/>
    <w:pPr>
      <w:spacing w:before="100" w:beforeAutospacing="1" w:after="100" w:afterAutospacing="1"/>
    </w:pPr>
    <w:rPr>
      <w:sz w:val="24"/>
      <w:szCs w:val="24"/>
    </w:rPr>
  </w:style>
  <w:style w:type="paragraph" w:styleId="Prrafodelista">
    <w:name w:val="List Paragraph"/>
    <w:basedOn w:val="Normal"/>
    <w:uiPriority w:val="34"/>
    <w:qFormat/>
    <w:rsid w:val="00B173D3"/>
    <w:pPr>
      <w:ind w:left="720"/>
      <w:contextualSpacing/>
    </w:pPr>
  </w:style>
  <w:style w:type="paragraph" w:styleId="Encabezado">
    <w:name w:val="header"/>
    <w:basedOn w:val="Normal"/>
    <w:uiPriority w:val="99"/>
    <w:unhideWhenUsed/>
    <w:rsid w:val="7D3941F8"/>
    <w:pPr>
      <w:tabs>
        <w:tab w:val="center" w:pos="4680"/>
        <w:tab w:val="right" w:pos="9360"/>
      </w:tabs>
    </w:p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ho.int/es/news-room/fact-sheets/detail/hepatitis-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ielo.sld.cu/scielo.php?script=sci_arttext&amp;pid=S1025-02552022000100062" TargetMode="External"/><Relationship Id="rId4" Type="http://schemas.openxmlformats.org/officeDocument/2006/relationships/settings" Target="settings.xml"/><Relationship Id="rId9" Type="http://schemas.openxmlformats.org/officeDocument/2006/relationships/hyperlink" Target="http://scielo.sld.cu/scielo.php?script=sci_arttext&amp;pid=S1025-02552022000100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aRb08gs3oHO80U8/6665p60rg==">CgMxLjA4AHIhMVJ3Mlh6ZmlVRlUzVE5Wek1oRUlfcEVjN0gzRXVRNDh2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1519</Words>
  <Characters>8358</Characters>
  <Application>Microsoft Office Word</Application>
  <DocSecurity>0</DocSecurity>
  <Lines>69</Lines>
  <Paragraphs>19</Paragraphs>
  <ScaleCrop>false</ScaleCrop>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Quiñones</dc:creator>
  <cp:lastModifiedBy>Pamela Elisa Rojas Gonzalez</cp:lastModifiedBy>
  <cp:revision>2</cp:revision>
  <dcterms:created xsi:type="dcterms:W3CDTF">2024-08-08T00:54:00Z</dcterms:created>
  <dcterms:modified xsi:type="dcterms:W3CDTF">2024-12-02T21:01:00Z</dcterms:modified>
</cp:coreProperties>
</file>